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08" w:rsidRPr="00BB01CA" w:rsidRDefault="00B27608" w:rsidP="00B27608">
      <w:pPr>
        <w:spacing w:after="0" w:line="240" w:lineRule="auto"/>
        <w:jc w:val="center"/>
        <w:rPr>
          <w:rFonts w:ascii="Arial Black" w:eastAsia="Calibri" w:hAnsi="Arial Black" w:cs="Times New Roman"/>
          <w:noProof/>
          <w:sz w:val="36"/>
          <w:szCs w:val="36"/>
        </w:rPr>
      </w:pPr>
      <w:r w:rsidRPr="00BB01C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E4DC2BF" wp14:editId="08351F96">
            <wp:simplePos x="0" y="0"/>
            <wp:positionH relativeFrom="column">
              <wp:posOffset>2606726</wp:posOffset>
            </wp:positionH>
            <wp:positionV relativeFrom="paragraph">
              <wp:posOffset>-588415</wp:posOffset>
            </wp:positionV>
            <wp:extent cx="740520" cy="1038758"/>
            <wp:effectExtent l="0" t="0" r="2540" b="9525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608" w:rsidRPr="00BB01CA" w:rsidRDefault="00B27608" w:rsidP="00B2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</w:rPr>
        <w:t xml:space="preserve">АППАРАТ </w:t>
      </w:r>
      <w:r w:rsidRPr="00BB01CA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</w:rPr>
        <w:t>СОВЕТ</w:t>
      </w:r>
      <w:r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</w:rPr>
        <w:t>А</w:t>
      </w:r>
      <w:r w:rsidRPr="00BB01CA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</w:rPr>
        <w:t xml:space="preserve"> ДЕПУТАТОВ</w:t>
      </w:r>
    </w:p>
    <w:p w:rsidR="00B27608" w:rsidRPr="00BB01CA" w:rsidRDefault="00B27608" w:rsidP="00B27608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756162"/>
          <w:sz w:val="28"/>
          <w:szCs w:val="28"/>
        </w:rPr>
      </w:pPr>
      <w:r w:rsidRPr="00BB01CA">
        <w:rPr>
          <w:rFonts w:ascii="Times New Roman" w:eastAsia="Times New Roman" w:hAnsi="Times New Roman" w:cs="Times New Roman"/>
          <w:bCs/>
          <w:color w:val="756162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B27608" w:rsidRPr="00BB01CA" w:rsidRDefault="00B27608" w:rsidP="00B27608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</w:rPr>
      </w:pPr>
      <w:r w:rsidRPr="00BB01CA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</w:rPr>
        <w:t>БУТЫРСКИЙ</w:t>
      </w:r>
    </w:p>
    <w:p w:rsidR="00B27608" w:rsidRPr="00BB01CA" w:rsidRDefault="00B27608" w:rsidP="00B27608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756162"/>
          <w:sz w:val="28"/>
          <w:szCs w:val="28"/>
        </w:rPr>
      </w:pPr>
      <w:r w:rsidRPr="00BB01CA">
        <w:rPr>
          <w:rFonts w:ascii="Times New Roman" w:eastAsia="Times New Roman" w:hAnsi="Times New Roman" w:cs="Times New Roman"/>
          <w:color w:val="756162"/>
          <w:sz w:val="28"/>
          <w:szCs w:val="28"/>
        </w:rPr>
        <w:t>в городе Москве</w:t>
      </w:r>
    </w:p>
    <w:p w:rsidR="00B27608" w:rsidRPr="00BB01CA" w:rsidRDefault="00B27608" w:rsidP="00B2760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27608" w:rsidRPr="00BB01CA" w:rsidRDefault="00B27608" w:rsidP="00B276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56162"/>
          <w:sz w:val="20"/>
          <w:szCs w:val="20"/>
        </w:rPr>
      </w:pPr>
      <w:r w:rsidRPr="00BB01CA">
        <w:rPr>
          <w:rFonts w:ascii="Times New Roman" w:eastAsia="Times New Roman" w:hAnsi="Times New Roman" w:cs="Times New Roman"/>
          <w:b/>
          <w:color w:val="756162"/>
          <w:sz w:val="36"/>
          <w:szCs w:val="36"/>
        </w:rPr>
        <w:t>РАСПОРЯЖЕНИЕ</w:t>
      </w:r>
    </w:p>
    <w:p w:rsidR="00B27608" w:rsidRPr="00BB01CA" w:rsidRDefault="00B27608" w:rsidP="00B27608">
      <w:pPr>
        <w:spacing w:after="0" w:line="240" w:lineRule="auto"/>
        <w:jc w:val="center"/>
        <w:rPr>
          <w:rFonts w:ascii="Arial Black" w:eastAsia="Calibri" w:hAnsi="Arial Black" w:cs="Arial"/>
          <w:b/>
          <w:sz w:val="36"/>
          <w:szCs w:val="36"/>
          <w:lang w:eastAsia="en-US"/>
        </w:rPr>
      </w:pPr>
    </w:p>
    <w:p w:rsidR="00B27608" w:rsidRPr="00BB01CA" w:rsidRDefault="00B27608" w:rsidP="00B2760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Pr="00BB01C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Pr="00BB01CA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B01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02-0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BB01CA">
        <w:rPr>
          <w:rFonts w:ascii="Times New Roman" w:eastAsia="Calibri" w:hAnsi="Times New Roman" w:cs="Times New Roman"/>
          <w:sz w:val="28"/>
          <w:szCs w:val="28"/>
          <w:lang w:eastAsia="en-US"/>
        </w:rPr>
        <w:t>-0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BB01CA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</w:t>
      </w:r>
    </w:p>
    <w:p w:rsidR="00B27608" w:rsidRDefault="00B27608" w:rsidP="00B27608">
      <w:pPr>
        <w:widowControl w:val="0"/>
        <w:ind w:right="510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12891223"/>
    </w:p>
    <w:p w:rsidR="00B27608" w:rsidRPr="00EA4CC0" w:rsidRDefault="00B27608" w:rsidP="00B27608">
      <w:pPr>
        <w:widowControl w:val="0"/>
        <w:ind w:right="5103"/>
        <w:jc w:val="both"/>
        <w:rPr>
          <w:rFonts w:ascii="Times New Roman" w:hAnsi="Times New Roman" w:cs="Times New Roman"/>
          <w:sz w:val="25"/>
          <w:szCs w:val="25"/>
        </w:rPr>
      </w:pPr>
      <w:r w:rsidRPr="00EA4CC0">
        <w:rPr>
          <w:rFonts w:ascii="Times New Roman" w:hAnsi="Times New Roman" w:cs="Times New Roman"/>
          <w:b/>
          <w:sz w:val="25"/>
          <w:szCs w:val="25"/>
        </w:rPr>
        <w:t xml:space="preserve">Об утверждении Положения об учётной политике аппарата Совета депутатов внутригородского муниципального образования - муниципального округа </w:t>
      </w:r>
      <w:proofErr w:type="gramStart"/>
      <w:r w:rsidRPr="00EA4CC0">
        <w:rPr>
          <w:rFonts w:ascii="Times New Roman" w:hAnsi="Times New Roman" w:cs="Times New Roman"/>
          <w:b/>
          <w:sz w:val="25"/>
          <w:szCs w:val="25"/>
        </w:rPr>
        <w:t>Бутырский</w:t>
      </w:r>
      <w:proofErr w:type="gramEnd"/>
      <w:r w:rsidRPr="00EA4CC0">
        <w:rPr>
          <w:rFonts w:ascii="Times New Roman" w:hAnsi="Times New Roman" w:cs="Times New Roman"/>
          <w:b/>
          <w:sz w:val="25"/>
          <w:szCs w:val="25"/>
        </w:rPr>
        <w:t xml:space="preserve"> в городе Москве для целей бюджетного и налогового учёта</w:t>
      </w:r>
    </w:p>
    <w:bookmarkEnd w:id="0"/>
    <w:p w:rsidR="00B27608" w:rsidRPr="00EA4CC0" w:rsidRDefault="00B27608" w:rsidP="00B2760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B27608" w:rsidRPr="00EA4CC0" w:rsidRDefault="00B27608" w:rsidP="00B27608">
      <w:pPr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     </w:t>
      </w:r>
      <w:proofErr w:type="gramStart"/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В соответствии с Налоговым кодексом Российской Федерации, Бюджетным кодексом Российской Федерации, Федеральным законом от 06.12.2011г. </w:t>
      </w:r>
      <w:r w:rsidRPr="00EA4CC0">
        <w:rPr>
          <w:rFonts w:ascii="Times New Roman" w:eastAsia="Segoe UI Symbol" w:hAnsi="Times New Roman" w:cs="Times New Roman"/>
          <w:sz w:val="25"/>
          <w:szCs w:val="25"/>
          <w:shd w:val="clear" w:color="auto" w:fill="FFFFFF"/>
        </w:rPr>
        <w:t>№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402-ФЗ «О бухгалтерском учете», Федеральным стандартом «Учетная политика, оценочные значения и ошибки», утвержденным приказом Министерства финансов от 30.12.2017г. </w:t>
      </w:r>
      <w:r w:rsidRPr="00EA4CC0">
        <w:rPr>
          <w:rFonts w:ascii="Times New Roman" w:eastAsia="Segoe UI Symbol" w:hAnsi="Times New Roman" w:cs="Times New Roman"/>
          <w:sz w:val="25"/>
          <w:szCs w:val="25"/>
          <w:shd w:val="clear" w:color="auto" w:fill="FFFFFF"/>
        </w:rPr>
        <w:t>№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274н», </w:t>
      </w:r>
      <w:r w:rsidRPr="00EA4CC0">
        <w:rPr>
          <w:rFonts w:ascii="Times New Roman" w:hAnsi="Times New Roman" w:cs="Times New Roman"/>
          <w:sz w:val="25"/>
          <w:szCs w:val="25"/>
        </w:rPr>
        <w:t xml:space="preserve">Федеральным стандартом «Единый план счетов бухгалтерского учета государственных финансов», утвержденным приказом 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Министерства финансов </w:t>
      </w:r>
      <w:r w:rsidRPr="00EA4CC0">
        <w:rPr>
          <w:rFonts w:ascii="Times New Roman" w:hAnsi="Times New Roman" w:cs="Times New Roman"/>
          <w:sz w:val="25"/>
          <w:szCs w:val="25"/>
        </w:rPr>
        <w:t xml:space="preserve">от 30.08.2024 № 121н, 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для целей бюджетного и налогового учёта, проводимого в</w:t>
      </w:r>
      <w:proofErr w:type="gramEnd"/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аппарате Совета депутатов внутригородского муниципального образования -  муниципального округа </w:t>
      </w:r>
      <w:proofErr w:type="gramStart"/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Бутырский</w:t>
      </w:r>
      <w:proofErr w:type="gramEnd"/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в городе Москве: </w:t>
      </w:r>
    </w:p>
    <w:p w:rsidR="00B27608" w:rsidRPr="00EA4CC0" w:rsidRDefault="00B27608" w:rsidP="00B2760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EA4CC0">
        <w:rPr>
          <w:rFonts w:ascii="Times New Roman" w:eastAsia="Times New Roman" w:hAnsi="Times New Roman" w:cs="Times New Roman"/>
          <w:b/>
          <w:sz w:val="25"/>
          <w:szCs w:val="25"/>
          <w:shd w:val="clear" w:color="auto" w:fill="FFFFFF"/>
        </w:rPr>
        <w:t>1.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Утвердить Положение об </w:t>
      </w:r>
      <w:r w:rsidRPr="00EA4CC0">
        <w:rPr>
          <w:rFonts w:ascii="Times New Roman" w:hAnsi="Times New Roman" w:cs="Times New Roman"/>
          <w:sz w:val="25"/>
          <w:szCs w:val="25"/>
        </w:rPr>
        <w:t xml:space="preserve">учетной политике 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аппарата Совета депутатов внутригородского муниципального образования -  муниципального округа </w:t>
      </w:r>
      <w:proofErr w:type="gramStart"/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Бутырский</w:t>
      </w:r>
      <w:proofErr w:type="gramEnd"/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в городе Москве</w:t>
      </w:r>
      <w:r w:rsidRPr="00EA4CC0">
        <w:rPr>
          <w:rFonts w:ascii="Times New Roman" w:hAnsi="Times New Roman" w:cs="Times New Roman"/>
          <w:sz w:val="25"/>
          <w:szCs w:val="25"/>
        </w:rPr>
        <w:t xml:space="preserve"> для целей бюджетного и налогового учета (приложение). </w:t>
      </w:r>
    </w:p>
    <w:p w:rsidR="00B27608" w:rsidRPr="00EA4CC0" w:rsidRDefault="00B27608" w:rsidP="00B2760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A4CC0">
        <w:rPr>
          <w:rFonts w:ascii="Times New Roman" w:eastAsia="Times New Roman" w:hAnsi="Times New Roman" w:cs="Times New Roman"/>
          <w:b/>
          <w:sz w:val="25"/>
          <w:szCs w:val="25"/>
          <w:shd w:val="clear" w:color="auto" w:fill="FFFFFF"/>
        </w:rPr>
        <w:t>2.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EA4CC0">
        <w:rPr>
          <w:rFonts w:ascii="Times New Roman" w:hAnsi="Times New Roman" w:cs="Times New Roman"/>
          <w:sz w:val="25"/>
          <w:szCs w:val="25"/>
        </w:rPr>
        <w:t>Установить, что настоящая Учетная политика применяется, начиная с 01 января 2026 года, на последующие отчетные периоды с внесением, при возникновении необходимости, изменений и дополнений.</w:t>
      </w:r>
    </w:p>
    <w:p w:rsidR="00B27608" w:rsidRPr="00EA4CC0" w:rsidRDefault="00B27608" w:rsidP="00B2760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 w:rsidRPr="00EA4CC0">
        <w:rPr>
          <w:rFonts w:ascii="Times New Roman" w:eastAsia="Times New Roman" w:hAnsi="Times New Roman" w:cs="Times New Roman"/>
          <w:b/>
          <w:sz w:val="25"/>
          <w:szCs w:val="25"/>
          <w:shd w:val="clear" w:color="auto" w:fill="FFFFFF"/>
        </w:rPr>
        <w:t xml:space="preserve">        3.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Признать утратившим силу распоряжение аппарата Совета депутатов внутригородского муниципального образования -  муниципального округа </w:t>
      </w:r>
      <w:proofErr w:type="gramStart"/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Бутырский</w:t>
      </w:r>
      <w:proofErr w:type="gramEnd"/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в городе Москве от 28.12.2024 </w:t>
      </w:r>
      <w:r w:rsidRPr="00EA4CC0">
        <w:rPr>
          <w:rFonts w:ascii="Times New Roman" w:eastAsia="Segoe UI Symbol" w:hAnsi="Times New Roman" w:cs="Times New Roman"/>
          <w:sz w:val="25"/>
          <w:szCs w:val="25"/>
          <w:shd w:val="clear" w:color="auto" w:fill="FFFFFF"/>
        </w:rPr>
        <w:t>№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02-01-06/12 «</w:t>
      </w:r>
      <w:r w:rsidRPr="00EA4CC0">
        <w:rPr>
          <w:rFonts w:ascii="Times New Roman" w:eastAsia="Times New Roman" w:hAnsi="Times New Roman" w:cs="Times New Roman"/>
          <w:sz w:val="25"/>
          <w:szCs w:val="25"/>
        </w:rPr>
        <w:t xml:space="preserve">Об утверждении Положения об учётной политике 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аппарата Совета депутатов внутригородского муниципального образования -  муниципального округа Бутырский в городе Москве</w:t>
      </w:r>
      <w:r w:rsidRPr="00EA4CC0">
        <w:rPr>
          <w:rFonts w:ascii="Times New Roman" w:eastAsia="Times New Roman" w:hAnsi="Times New Roman" w:cs="Times New Roman"/>
          <w:sz w:val="25"/>
          <w:szCs w:val="25"/>
        </w:rPr>
        <w:t xml:space="preserve"> для целей бюджетного учета и налогообложения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». </w:t>
      </w:r>
    </w:p>
    <w:p w:rsidR="00B27608" w:rsidRPr="00EA4CC0" w:rsidRDefault="00B27608" w:rsidP="00B2760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EA4CC0">
        <w:rPr>
          <w:rFonts w:ascii="Times New Roman" w:eastAsia="Times New Roman" w:hAnsi="Times New Roman" w:cs="Times New Roman"/>
          <w:b/>
          <w:sz w:val="25"/>
          <w:szCs w:val="25"/>
          <w:shd w:val="clear" w:color="auto" w:fill="FFFFFF"/>
        </w:rPr>
        <w:t>4.</w:t>
      </w:r>
      <w:r w:rsidRPr="00EA4CC0"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gramStart"/>
      <w:r w:rsidRPr="00EA4CC0">
        <w:rPr>
          <w:rFonts w:ascii="Times New Roman" w:hAnsi="Times New Roman" w:cs="Times New Roman"/>
          <w:sz w:val="25"/>
          <w:szCs w:val="25"/>
        </w:rPr>
        <w:t>Контроль за</w:t>
      </w:r>
      <w:proofErr w:type="gramEnd"/>
      <w:r w:rsidRPr="00EA4CC0">
        <w:rPr>
          <w:rFonts w:ascii="Times New Roman" w:hAnsi="Times New Roman" w:cs="Times New Roman"/>
          <w:sz w:val="25"/>
          <w:szCs w:val="25"/>
        </w:rPr>
        <w:t xml:space="preserve"> исполнением настоящего распоряжения оставить за главой внутригородского муниципального образования -  муниципального округа Бутырский в городе Москве Н.В. Шкловской.</w:t>
      </w:r>
    </w:p>
    <w:p w:rsidR="00B27608" w:rsidRPr="00EA4CC0" w:rsidRDefault="00B27608" w:rsidP="00B2760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:rsidR="00B27608" w:rsidRPr="00EA4CC0" w:rsidRDefault="00B27608" w:rsidP="00B27608">
      <w:pPr>
        <w:pStyle w:val="a3"/>
        <w:rPr>
          <w:b/>
          <w:bCs/>
          <w:sz w:val="25"/>
          <w:szCs w:val="25"/>
        </w:rPr>
      </w:pPr>
      <w:r w:rsidRPr="00EA4CC0">
        <w:rPr>
          <w:b/>
          <w:bCs/>
          <w:sz w:val="25"/>
          <w:szCs w:val="25"/>
        </w:rPr>
        <w:t xml:space="preserve">Глава внутригородского муниципального образования – </w:t>
      </w:r>
    </w:p>
    <w:p w:rsidR="00B27608" w:rsidRPr="00EA4CC0" w:rsidRDefault="00B27608" w:rsidP="00B27608">
      <w:pPr>
        <w:pStyle w:val="a3"/>
        <w:rPr>
          <w:b/>
          <w:bCs/>
          <w:sz w:val="25"/>
          <w:szCs w:val="25"/>
        </w:rPr>
      </w:pPr>
      <w:r w:rsidRPr="00EA4CC0">
        <w:rPr>
          <w:b/>
          <w:bCs/>
          <w:sz w:val="25"/>
          <w:szCs w:val="25"/>
        </w:rPr>
        <w:t xml:space="preserve">муниципального округа </w:t>
      </w:r>
      <w:proofErr w:type="gramStart"/>
      <w:r w:rsidRPr="00EA4CC0">
        <w:rPr>
          <w:b/>
          <w:bCs/>
          <w:sz w:val="25"/>
          <w:szCs w:val="25"/>
        </w:rPr>
        <w:t>Бутырский</w:t>
      </w:r>
      <w:proofErr w:type="gramEnd"/>
      <w:r w:rsidRPr="00EA4CC0">
        <w:rPr>
          <w:b/>
          <w:bCs/>
          <w:sz w:val="25"/>
          <w:szCs w:val="25"/>
        </w:rPr>
        <w:t xml:space="preserve"> </w:t>
      </w:r>
    </w:p>
    <w:p w:rsidR="00DC326D" w:rsidRDefault="00B27608" w:rsidP="00B27608">
      <w:pPr>
        <w:rPr>
          <w:b/>
          <w:bCs/>
          <w:sz w:val="25"/>
          <w:szCs w:val="25"/>
        </w:rPr>
      </w:pPr>
      <w:r w:rsidRPr="00EA4CC0">
        <w:rPr>
          <w:b/>
          <w:bCs/>
          <w:sz w:val="25"/>
          <w:szCs w:val="25"/>
        </w:rPr>
        <w:t>в городе Москве                                                                                              Н.В. Шкловская</w:t>
      </w:r>
    </w:p>
    <w:p w:rsidR="00B27608" w:rsidRPr="00D545A4" w:rsidRDefault="00B27608" w:rsidP="00B276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D545A4">
        <w:rPr>
          <w:rFonts w:ascii="Times New Roman" w:eastAsia="Calibri" w:hAnsi="Times New Roman" w:cs="Times New Roman"/>
          <w:b/>
          <w:sz w:val="25"/>
          <w:szCs w:val="25"/>
        </w:rPr>
        <w:lastRenderedPageBreak/>
        <w:t>СОДЕРЖАНИЕ</w:t>
      </w:r>
    </w:p>
    <w:p w:rsidR="00B27608" w:rsidRPr="00D545A4" w:rsidRDefault="00B27608" w:rsidP="00B27608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2"/>
        <w:gridCol w:w="1405"/>
        <w:gridCol w:w="6060"/>
        <w:gridCol w:w="1341"/>
      </w:tblGrid>
      <w:tr w:rsidR="00B27608" w:rsidRPr="00D545A4" w:rsidTr="002A6D2C">
        <w:tc>
          <w:tcPr>
            <w:tcW w:w="942" w:type="dxa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b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b/>
                <w:sz w:val="25"/>
                <w:szCs w:val="25"/>
              </w:rPr>
              <w:t>Раздел</w:t>
            </w:r>
          </w:p>
        </w:tc>
        <w:tc>
          <w:tcPr>
            <w:tcW w:w="1357" w:type="dxa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b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b/>
                <w:sz w:val="25"/>
                <w:szCs w:val="25"/>
              </w:rPr>
              <w:t>Подраздел</w:t>
            </w:r>
          </w:p>
        </w:tc>
        <w:tc>
          <w:tcPr>
            <w:tcW w:w="6060" w:type="dxa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b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b/>
                <w:sz w:val="25"/>
                <w:szCs w:val="25"/>
              </w:rPr>
              <w:t>Наименование</w:t>
            </w:r>
          </w:p>
        </w:tc>
        <w:tc>
          <w:tcPr>
            <w:tcW w:w="1296" w:type="dxa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b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b/>
                <w:sz w:val="25"/>
                <w:szCs w:val="25"/>
              </w:rPr>
              <w:t>Страница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I.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Общие положения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3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II.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Технология обработки учетной информации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5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III.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Рабочий план счетов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10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IV.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Методы оценки объектов бухгалтерского учета, порядок их признания, прекращение признания и раскрытия информации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10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1</w:t>
            </w:r>
            <w:r w:rsidRPr="00D545A4">
              <w:rPr>
                <w:rFonts w:ascii="Times New Roman" w:eastAsia="Calibri" w:hAnsi="Times New Roman"/>
                <w:sz w:val="25"/>
                <w:szCs w:val="25"/>
              </w:rPr>
              <w:t>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Основные средства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10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2.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Нематериальные активы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16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3.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Материальные запасы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18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4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Стоимость безвозмездно полученных нефинансовых активов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21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5.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Учет денежных документов и денежных средств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22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6.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Учет средств, поступивших во временное распоряжение учреждения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2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3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7.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Расчеты с подотчетными лицами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23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8.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Расчеты с дебиторами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26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9.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Расчеты по обязательствам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2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9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10.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Дебиторская и кредиторская задолженность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30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11.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Учет расчетов по оплате труда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3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1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12.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Учет бюджетных обязательств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3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3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13.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Финансовый результат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34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14.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События после отчетной даты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35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15.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Учет бланков строгой отчетности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3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5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16.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 xml:space="preserve">Учет на </w:t>
            </w:r>
            <w:proofErr w:type="spellStart"/>
            <w:r w:rsidRPr="00D545A4">
              <w:rPr>
                <w:rFonts w:ascii="Times New Roman" w:eastAsia="Calibri" w:hAnsi="Times New Roman"/>
                <w:sz w:val="25"/>
                <w:szCs w:val="25"/>
              </w:rPr>
              <w:t>забалансовых</w:t>
            </w:r>
            <w:proofErr w:type="spellEnd"/>
            <w:r w:rsidRPr="00D545A4">
              <w:rPr>
                <w:rFonts w:ascii="Times New Roman" w:eastAsia="Calibri" w:hAnsi="Times New Roman"/>
                <w:sz w:val="25"/>
                <w:szCs w:val="25"/>
              </w:rPr>
              <w:t xml:space="preserve"> счетах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37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17.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Резервы. Раскрытие информации об условных активах, условных обязательствах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48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18.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Метод учета убытка от обесценивания активов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50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V.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Инвентаризация имущества и обязательств</w:t>
            </w:r>
          </w:p>
        </w:tc>
        <w:tc>
          <w:tcPr>
            <w:tcW w:w="1296" w:type="dxa"/>
            <w:vAlign w:val="bottom"/>
          </w:tcPr>
          <w:p w:rsidR="00B27608" w:rsidRPr="00695C99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52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VI.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pStyle w:val="a4"/>
              <w:ind w:left="0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Первичные и сводные учетные документы, бюджетные регистры и правила документооборота</w:t>
            </w:r>
          </w:p>
        </w:tc>
        <w:tc>
          <w:tcPr>
            <w:tcW w:w="1296" w:type="dxa"/>
            <w:vAlign w:val="bottom"/>
          </w:tcPr>
          <w:p w:rsidR="00B27608" w:rsidRPr="00695C99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53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lastRenderedPageBreak/>
              <w:t>VII.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Порядок организации и обеспечения внутреннего финансового контроля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 xml:space="preserve"> и аудита</w:t>
            </w:r>
          </w:p>
        </w:tc>
        <w:tc>
          <w:tcPr>
            <w:tcW w:w="1296" w:type="dxa"/>
            <w:vAlign w:val="bottom"/>
          </w:tcPr>
          <w:p w:rsidR="00B27608" w:rsidRPr="00F767B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5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9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VIII.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Бюджетная отчетность</w:t>
            </w:r>
          </w:p>
        </w:tc>
        <w:tc>
          <w:tcPr>
            <w:tcW w:w="1296" w:type="dxa"/>
            <w:vAlign w:val="bottom"/>
          </w:tcPr>
          <w:p w:rsidR="00B27608" w:rsidRPr="00AE1E60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60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IX.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Исправление ошибок в бухгалтерской (финансовой) отчетности</w:t>
            </w:r>
          </w:p>
        </w:tc>
        <w:tc>
          <w:tcPr>
            <w:tcW w:w="1296" w:type="dxa"/>
            <w:vAlign w:val="bottom"/>
          </w:tcPr>
          <w:p w:rsidR="00B27608" w:rsidRPr="00AE1E60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60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X.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Информация о связанных сторонах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6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4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XI.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Порядок передачи документов бухгалтерского учета при смене руководителя и главного бухгалтера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64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XII</w:t>
            </w:r>
            <w:r w:rsidRPr="00D545A4">
              <w:rPr>
                <w:rFonts w:ascii="Times New Roman" w:eastAsia="Calibri" w:hAnsi="Times New Roman"/>
                <w:sz w:val="25"/>
                <w:szCs w:val="25"/>
              </w:rPr>
              <w:t>.</w:t>
            </w: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Times New Roman" w:hAnsi="Times New Roman"/>
                <w:sz w:val="25"/>
                <w:szCs w:val="25"/>
              </w:rPr>
            </w:pPr>
            <w:r w:rsidRPr="00D545A4">
              <w:rPr>
                <w:rFonts w:ascii="Times New Roman" w:eastAsia="Times New Roman" w:hAnsi="Times New Roman"/>
                <w:sz w:val="25"/>
                <w:szCs w:val="25"/>
              </w:rPr>
              <w:t>Учетная политика для целей налогового учета</w:t>
            </w:r>
          </w:p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6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6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1.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Организационные аспекты налогового учета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6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6</w:t>
            </w:r>
          </w:p>
        </w:tc>
      </w:tr>
      <w:tr w:rsidR="00B27608" w:rsidRPr="00D545A4" w:rsidTr="002A6D2C">
        <w:tc>
          <w:tcPr>
            <w:tcW w:w="942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357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2.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Методологические аспекты налогового учета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68</w:t>
            </w:r>
          </w:p>
        </w:tc>
      </w:tr>
      <w:tr w:rsidR="00B27608" w:rsidRPr="00D545A4" w:rsidTr="002A6D2C">
        <w:tc>
          <w:tcPr>
            <w:tcW w:w="2299" w:type="dxa"/>
            <w:gridSpan w:val="2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Приложения: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</w:tr>
      <w:tr w:rsidR="00B27608" w:rsidRPr="00D545A4" w:rsidTr="002A6D2C">
        <w:tc>
          <w:tcPr>
            <w:tcW w:w="2299" w:type="dxa"/>
            <w:gridSpan w:val="2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1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eastAsia="en-US"/>
              </w:rPr>
              <w:t>Список должностей, имеющих право подписи простой электронной подписью и электронной цифровой подписью</w:t>
            </w:r>
          </w:p>
        </w:tc>
        <w:tc>
          <w:tcPr>
            <w:tcW w:w="1296" w:type="dxa"/>
            <w:vAlign w:val="bottom"/>
          </w:tcPr>
          <w:p w:rsidR="00B27608" w:rsidRPr="00695C99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71</w:t>
            </w:r>
          </w:p>
        </w:tc>
      </w:tr>
      <w:tr w:rsidR="00B27608" w:rsidRPr="00D545A4" w:rsidTr="002A6D2C">
        <w:trPr>
          <w:trHeight w:val="426"/>
        </w:trPr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2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pStyle w:val="a4"/>
              <w:ind w:left="0" w:hanging="3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Рабочий план счетов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72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3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Times New Roman" w:hAnsi="Times New Roman"/>
                <w:sz w:val="25"/>
                <w:szCs w:val="25"/>
              </w:rPr>
              <w:t>Перечень производственного и хозяйственного инвентаря, который включается в состав основных средств и материальных запасов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118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4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Порядок  и сроки проведения инвентаризации активов и обязательств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119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5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 xml:space="preserve">Положение о постоянно действующей инвентаризационной комиссии 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40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6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Положение сомнительной или безнадежной к взысканию дебиторской задолженности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15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4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Приложения 7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Положение о признании невостребованной кредиторской задолженности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58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8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Положение о служебных командировках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1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60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9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Порядок признания и отражения в учете и в бюджетной отчетности событий после отчетной даты</w:t>
            </w:r>
          </w:p>
        </w:tc>
        <w:tc>
          <w:tcPr>
            <w:tcW w:w="1296" w:type="dxa"/>
            <w:vAlign w:val="bottom"/>
          </w:tcPr>
          <w:p w:rsidR="00B27608" w:rsidRPr="0024535A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1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69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10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Порядок расчета резервов по отпускам</w:t>
            </w:r>
          </w:p>
        </w:tc>
        <w:tc>
          <w:tcPr>
            <w:tcW w:w="1296" w:type="dxa"/>
            <w:vAlign w:val="bottom"/>
          </w:tcPr>
          <w:p w:rsidR="00B27608" w:rsidRPr="00695C99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  <w:lang w:val="en-US"/>
              </w:rPr>
              <w:t>1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73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11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Утвержденные формы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  <w:lang w:val="en-US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175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12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Сроки хранения бухгалтерских документов</w:t>
            </w:r>
          </w:p>
        </w:tc>
        <w:tc>
          <w:tcPr>
            <w:tcW w:w="1296" w:type="dxa"/>
            <w:vAlign w:val="bottom"/>
          </w:tcPr>
          <w:p w:rsidR="00B27608" w:rsidRPr="00695C99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177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lastRenderedPageBreak/>
              <w:t>Приложение 13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Положение о внутреннем финансовом контроле</w:t>
            </w:r>
          </w:p>
        </w:tc>
        <w:tc>
          <w:tcPr>
            <w:tcW w:w="1296" w:type="dxa"/>
            <w:vAlign w:val="bottom"/>
          </w:tcPr>
          <w:p w:rsidR="00B27608" w:rsidRPr="00695C99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184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14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Порядок принятия к учету обязательств</w:t>
            </w:r>
          </w:p>
        </w:tc>
        <w:tc>
          <w:tcPr>
            <w:tcW w:w="1296" w:type="dxa"/>
            <w:vAlign w:val="bottom"/>
          </w:tcPr>
          <w:p w:rsidR="00B27608" w:rsidRPr="00695C99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192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15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График документооборота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201</w:t>
            </w:r>
          </w:p>
        </w:tc>
      </w:tr>
      <w:tr w:rsidR="00B27608" w:rsidRPr="00D545A4" w:rsidTr="002A6D2C">
        <w:tc>
          <w:tcPr>
            <w:tcW w:w="2299" w:type="dxa"/>
            <w:gridSpan w:val="2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Приложение 16</w:t>
            </w: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Форма акта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213</w:t>
            </w:r>
          </w:p>
        </w:tc>
      </w:tr>
      <w:tr w:rsidR="00B27608" w:rsidRPr="00D545A4" w:rsidTr="002A6D2C">
        <w:tc>
          <w:tcPr>
            <w:tcW w:w="2299" w:type="dxa"/>
            <w:gridSpan w:val="2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</w:p>
        </w:tc>
        <w:tc>
          <w:tcPr>
            <w:tcW w:w="6060" w:type="dxa"/>
            <w:vAlign w:val="bottom"/>
          </w:tcPr>
          <w:p w:rsidR="00B27608" w:rsidRPr="00D545A4" w:rsidRDefault="00B27608" w:rsidP="002A6D2C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Содержание</w:t>
            </w:r>
          </w:p>
        </w:tc>
        <w:tc>
          <w:tcPr>
            <w:tcW w:w="1296" w:type="dxa"/>
            <w:vAlign w:val="bottom"/>
          </w:tcPr>
          <w:p w:rsidR="00B27608" w:rsidRPr="00D545A4" w:rsidRDefault="00B27608" w:rsidP="002A6D2C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D545A4">
              <w:rPr>
                <w:rFonts w:ascii="Times New Roman" w:eastAsia="Calibri" w:hAnsi="Times New Roman"/>
                <w:sz w:val="25"/>
                <w:szCs w:val="25"/>
              </w:rPr>
              <w:t>2</w:t>
            </w:r>
            <w:r>
              <w:rPr>
                <w:rFonts w:ascii="Times New Roman" w:eastAsia="Calibri" w:hAnsi="Times New Roman"/>
                <w:sz w:val="25"/>
                <w:szCs w:val="25"/>
              </w:rPr>
              <w:t>14</w:t>
            </w:r>
          </w:p>
        </w:tc>
      </w:tr>
    </w:tbl>
    <w:p w:rsidR="00B27608" w:rsidRPr="00A6268F" w:rsidRDefault="00B27608" w:rsidP="00B276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7608" w:rsidRDefault="00B27608" w:rsidP="00B27608">
      <w:bookmarkStart w:id="1" w:name="_GoBack"/>
      <w:bookmarkEnd w:id="1"/>
    </w:p>
    <w:sectPr w:rsidR="00B27608" w:rsidSect="00B2760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E3"/>
    <w:rsid w:val="00512AE3"/>
    <w:rsid w:val="00B27608"/>
    <w:rsid w:val="00DC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08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27608"/>
    <w:pPr>
      <w:ind w:left="720"/>
      <w:contextualSpacing/>
    </w:pPr>
  </w:style>
  <w:style w:type="table" w:styleId="a5">
    <w:name w:val="Table Grid"/>
    <w:basedOn w:val="a1"/>
    <w:uiPriority w:val="59"/>
    <w:rsid w:val="00B276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08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B27608"/>
    <w:pPr>
      <w:ind w:left="720"/>
      <w:contextualSpacing/>
    </w:pPr>
  </w:style>
  <w:style w:type="table" w:styleId="a5">
    <w:name w:val="Table Grid"/>
    <w:basedOn w:val="a1"/>
    <w:uiPriority w:val="59"/>
    <w:rsid w:val="00B276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2026-04-20T09:25:00Z</dcterms:created>
  <dcterms:modified xsi:type="dcterms:W3CDTF">2026-04-20T09:28:00Z</dcterms:modified>
</cp:coreProperties>
</file>