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2E" w:rsidRPr="00122461" w:rsidRDefault="00FE442E" w:rsidP="00FE442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1224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A6A74E5" wp14:editId="0113400D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2E" w:rsidRPr="00122461" w:rsidRDefault="00FE442E" w:rsidP="00FE442E">
      <w:pPr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СОВЕТ ДЕПУТАТОВ</w:t>
      </w:r>
    </w:p>
    <w:p w:rsidR="00FE442E" w:rsidRPr="00122461" w:rsidRDefault="00FE442E" w:rsidP="00FE442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2246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FE442E" w:rsidRPr="00122461" w:rsidRDefault="00FE442E" w:rsidP="00FE442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БУТЫРСКИЙ</w:t>
      </w:r>
    </w:p>
    <w:p w:rsidR="00FE442E" w:rsidRPr="00122461" w:rsidRDefault="00FE442E" w:rsidP="00FE442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22461">
        <w:rPr>
          <w:color w:val="000000"/>
          <w:sz w:val="28"/>
          <w:szCs w:val="28"/>
        </w:rPr>
        <w:t>в городе Москве</w:t>
      </w:r>
    </w:p>
    <w:p w:rsidR="00FE442E" w:rsidRPr="00122461" w:rsidRDefault="00FE442E" w:rsidP="00FE442E">
      <w:pPr>
        <w:rPr>
          <w:b/>
          <w:sz w:val="36"/>
          <w:szCs w:val="36"/>
        </w:rPr>
      </w:pPr>
    </w:p>
    <w:p w:rsidR="00FE442E" w:rsidRDefault="00FE442E" w:rsidP="00FE442E">
      <w:pPr>
        <w:jc w:val="center"/>
        <w:rPr>
          <w:b/>
          <w:sz w:val="36"/>
          <w:szCs w:val="36"/>
        </w:rPr>
      </w:pPr>
      <w:proofErr w:type="gramStart"/>
      <w:r w:rsidRPr="00122461">
        <w:rPr>
          <w:b/>
          <w:sz w:val="36"/>
          <w:szCs w:val="36"/>
        </w:rPr>
        <w:t>Р</w:t>
      </w:r>
      <w:proofErr w:type="gramEnd"/>
      <w:r w:rsidRPr="00122461">
        <w:rPr>
          <w:b/>
          <w:sz w:val="36"/>
          <w:szCs w:val="36"/>
        </w:rPr>
        <w:t xml:space="preserve"> Е Ш Е Н И Е</w:t>
      </w:r>
    </w:p>
    <w:p w:rsidR="00F14531" w:rsidRPr="001A2E2E" w:rsidRDefault="00F14531" w:rsidP="00F14531">
      <w:pPr>
        <w:rPr>
          <w:rFonts w:eastAsia="Calibri"/>
          <w:sz w:val="28"/>
          <w:szCs w:val="28"/>
        </w:rPr>
      </w:pPr>
      <w:r w:rsidRPr="001A2E2E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6</w:t>
      </w:r>
      <w:r w:rsidRPr="001A2E2E">
        <w:rPr>
          <w:rFonts w:eastAsia="Calibri"/>
          <w:sz w:val="28"/>
          <w:szCs w:val="28"/>
        </w:rPr>
        <w:t>.12.202</w:t>
      </w:r>
      <w:r>
        <w:rPr>
          <w:rFonts w:eastAsia="Calibri"/>
          <w:sz w:val="28"/>
          <w:szCs w:val="28"/>
        </w:rPr>
        <w:t>5</w:t>
      </w:r>
      <w:r w:rsidRPr="001A2E2E">
        <w:rPr>
          <w:rFonts w:eastAsia="Calibri"/>
          <w:sz w:val="28"/>
          <w:szCs w:val="28"/>
        </w:rPr>
        <w:t xml:space="preserve"> № 01-04/1</w:t>
      </w:r>
      <w:r>
        <w:rPr>
          <w:rFonts w:eastAsia="Calibri"/>
          <w:sz w:val="28"/>
          <w:szCs w:val="28"/>
        </w:rPr>
        <w:t>4-2</w:t>
      </w:r>
      <w:bookmarkStart w:id="0" w:name="_GoBack"/>
      <w:bookmarkEnd w:id="0"/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6717A5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0352C0" w:rsidRDefault="000352C0" w:rsidP="000352C0">
      <w:pPr>
        <w:pStyle w:val="a4"/>
        <w:ind w:right="453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Об экспертном заключении по проекту </w:t>
      </w:r>
      <w:proofErr w:type="gramStart"/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решения Совета депутатов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 муниципального образования ‒ муниципального округа</w:t>
      </w:r>
      <w:proofErr w:type="gramEnd"/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Бутырский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«О бюджете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Бутырский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на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2026 год и плановый период 2027 и 2028 годов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»</w:t>
      </w:r>
    </w:p>
    <w:p w:rsidR="00F14531" w:rsidRPr="006717A5" w:rsidRDefault="00F14531" w:rsidP="000352C0">
      <w:pPr>
        <w:pStyle w:val="a4"/>
        <w:ind w:right="453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6717A5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0352C0" w:rsidRPr="006717A5" w:rsidRDefault="000352C0" w:rsidP="000352C0">
      <w:pPr>
        <w:pStyle w:val="a4"/>
        <w:ind w:firstLine="708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 соответствии с </w:t>
      </w:r>
      <w:r w:rsidRPr="00A94A88">
        <w:rPr>
          <w:rFonts w:ascii="Times New Roman" w:hAnsi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</w:t>
      </w:r>
      <w:r>
        <w:rPr>
          <w:rFonts w:ascii="Times New Roman" w:hAnsi="Times New Roman"/>
          <w:sz w:val="28"/>
          <w:szCs w:val="28"/>
        </w:rPr>
        <w:t xml:space="preserve"> октября 2025 года № 01-04/12-3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Совет депутатов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 муниципального образования ‒ муниципального округа Бутырский 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решил:</w:t>
      </w:r>
    </w:p>
    <w:p w:rsidR="000352C0" w:rsidRPr="006717A5" w:rsidRDefault="000352C0" w:rsidP="000352C0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1. </w:t>
      </w:r>
      <w:proofErr w:type="gramStart"/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Утвердить экспертное заключение Бюджетно-финансовой комиссии Совета депутатов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по проекту решения Совета депутатов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«О бюджете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i w:val="0"/>
          <w:color w:val="auto"/>
          <w:sz w:val="28"/>
          <w:szCs w:val="28"/>
        </w:rPr>
        <w:t>2026 год и плановый период 2027 и 2028 годов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>» согласно приложению.</w:t>
      </w:r>
      <w:proofErr w:type="gramEnd"/>
    </w:p>
    <w:p w:rsidR="00F14531" w:rsidRDefault="000352C0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17A5">
        <w:rPr>
          <w:rFonts w:ascii="Times New Roman" w:hAnsi="Times New Roman"/>
          <w:bCs/>
          <w:sz w:val="28"/>
          <w:szCs w:val="28"/>
        </w:rPr>
        <w:lastRenderedPageBreak/>
        <w:t xml:space="preserve">2. Разместить настоящее решение на официальном сайте </w:t>
      </w:r>
      <w:r w:rsidR="00F14531" w:rsidRPr="00F14531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‒ муниципального округа </w:t>
      </w:r>
      <w:proofErr w:type="gramStart"/>
      <w:r w:rsidR="00F14531" w:rsidRPr="00F14531">
        <w:rPr>
          <w:rFonts w:ascii="Times New Roman" w:hAnsi="Times New Roman"/>
          <w:bCs/>
          <w:sz w:val="28"/>
          <w:szCs w:val="28"/>
        </w:rPr>
        <w:t>Бутырский</w:t>
      </w:r>
      <w:proofErr w:type="gramEnd"/>
      <w:r w:rsidR="00F14531" w:rsidRPr="00F14531">
        <w:rPr>
          <w:rFonts w:ascii="Times New Roman" w:hAnsi="Times New Roman"/>
          <w:bCs/>
          <w:sz w:val="28"/>
          <w:szCs w:val="28"/>
        </w:rPr>
        <w:t xml:space="preserve"> в городе </w:t>
      </w:r>
      <w:r w:rsidR="00F14531" w:rsidRPr="004C5824">
        <w:rPr>
          <w:rFonts w:ascii="Times New Roman" w:hAnsi="Times New Roman"/>
          <w:bCs/>
          <w:color w:val="000000" w:themeColor="text1"/>
          <w:sz w:val="28"/>
          <w:szCs w:val="28"/>
        </w:rPr>
        <w:t>Москве (</w:t>
      </w:r>
      <w:hyperlink r:id="rId10" w:history="1">
        <w:r w:rsidR="00F14531" w:rsidRPr="004C5824">
          <w:rPr>
            <w:rStyle w:val="ab"/>
            <w:rFonts w:ascii="Times New Roman" w:eastAsiaTheme="majorEastAsia" w:hAnsi="Times New Roman"/>
            <w:bCs/>
            <w:color w:val="000000" w:themeColor="text1"/>
            <w:sz w:val="28"/>
            <w:szCs w:val="28"/>
            <w:lang w:val="en-US"/>
          </w:rPr>
          <w:t>www</w:t>
        </w:r>
        <w:r w:rsidR="00F14531" w:rsidRPr="004C5824">
          <w:rPr>
            <w:rStyle w:val="ab"/>
            <w:rFonts w:ascii="Times New Roman" w:eastAsiaTheme="majorEastAsia" w:hAnsi="Times New Roman"/>
            <w:bCs/>
            <w:color w:val="000000" w:themeColor="text1"/>
            <w:sz w:val="28"/>
            <w:szCs w:val="28"/>
          </w:rPr>
          <w:t>.</w:t>
        </w:r>
        <w:proofErr w:type="spellStart"/>
        <w:r w:rsidR="00F14531" w:rsidRPr="004C5824">
          <w:rPr>
            <w:rStyle w:val="ab"/>
            <w:rFonts w:ascii="Times New Roman" w:eastAsiaTheme="majorEastAsia" w:hAnsi="Times New Roman"/>
            <w:bCs/>
            <w:color w:val="000000" w:themeColor="text1"/>
            <w:sz w:val="28"/>
            <w:szCs w:val="28"/>
            <w:lang w:val="en-US"/>
          </w:rPr>
          <w:t>butyrskoe</w:t>
        </w:r>
        <w:proofErr w:type="spellEnd"/>
        <w:r w:rsidR="00F14531" w:rsidRPr="004C5824">
          <w:rPr>
            <w:rStyle w:val="ab"/>
            <w:rFonts w:ascii="Times New Roman" w:eastAsiaTheme="majorEastAsia" w:hAnsi="Times New Roman"/>
            <w:bCs/>
            <w:color w:val="000000" w:themeColor="text1"/>
            <w:sz w:val="28"/>
            <w:szCs w:val="28"/>
          </w:rPr>
          <w:t>.</w:t>
        </w:r>
        <w:proofErr w:type="spellStart"/>
        <w:r w:rsidR="00F14531" w:rsidRPr="004C5824">
          <w:rPr>
            <w:rStyle w:val="ab"/>
            <w:rFonts w:ascii="Times New Roman" w:eastAsiaTheme="majorEastAsia" w:hAnsi="Times New Roman"/>
            <w:bCs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F14531" w:rsidRPr="004C5824">
        <w:rPr>
          <w:rStyle w:val="ab"/>
          <w:rFonts w:ascii="Times New Roman" w:eastAsiaTheme="majorEastAsia" w:hAnsi="Times New Roman"/>
          <w:bCs/>
          <w:color w:val="000000" w:themeColor="text1"/>
          <w:sz w:val="28"/>
          <w:szCs w:val="28"/>
          <w:u w:val="none"/>
        </w:rPr>
        <w:t>)</w:t>
      </w:r>
      <w:r w:rsidRPr="004C5824">
        <w:rPr>
          <w:rStyle w:val="ab"/>
          <w:rFonts w:ascii="Times New Roman" w:eastAsiaTheme="majorEastAsia" w:hAnsi="Times New Roman"/>
          <w:bCs/>
          <w:color w:val="000000" w:themeColor="text1"/>
          <w:sz w:val="28"/>
          <w:szCs w:val="28"/>
          <w:u w:val="none"/>
        </w:rPr>
        <w:t>.</w:t>
      </w:r>
      <w:r w:rsidRPr="004C58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14531" w:rsidRDefault="00F14531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4531" w:rsidRDefault="00F14531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4531" w:rsidRDefault="00F14531" w:rsidP="00F14531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Глава </w:t>
      </w:r>
      <w:proofErr w:type="gramStart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</w:t>
      </w:r>
      <w:proofErr w:type="gramEnd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муниципального образования – </w:t>
      </w: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муниципального округа </w:t>
      </w:r>
      <w:proofErr w:type="gramStart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Бутырский</w:t>
      </w:r>
      <w:proofErr w:type="gramEnd"/>
    </w:p>
    <w:p w:rsidR="000352C0" w:rsidRPr="006717A5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  <w:t>Н.В. Шкловская</w:t>
      </w:r>
      <w:r w:rsidR="000352C0"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br w:type="page"/>
      </w:r>
    </w:p>
    <w:p w:rsidR="00F14531" w:rsidRPr="00C81679" w:rsidRDefault="00F14531" w:rsidP="00F14531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F14531" w:rsidRPr="00C81679" w:rsidRDefault="00F14531" w:rsidP="00F14531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C81679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C81679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0352C0" w:rsidRPr="00F14531" w:rsidRDefault="00F14531" w:rsidP="00F14531">
      <w:pPr>
        <w:ind w:left="5103"/>
        <w:jc w:val="both"/>
        <w:rPr>
          <w:rStyle w:val="a8"/>
          <w:rFonts w:eastAsia="Calibri"/>
          <w:i w:val="0"/>
          <w:iCs w:val="0"/>
          <w:color w:val="auto"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16.12.2025 № 01-04/14-2</w:t>
      </w: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0352C0" w:rsidRPr="004E2F90" w:rsidRDefault="000352C0" w:rsidP="000352C0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Экспертное заключение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по проекту </w:t>
      </w:r>
      <w:proofErr w:type="gramStart"/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решения Совета депутатов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‒ муниципального округа</w:t>
      </w:r>
      <w:proofErr w:type="gramEnd"/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Бутырский в городе Москве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«О бюджете </w:t>
      </w:r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‒ муниципального округа Бутырский в городе Москве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»</w:t>
      </w: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0"/>
          <w:szCs w:val="20"/>
        </w:rPr>
      </w:pP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0"/>
          <w:szCs w:val="20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Настоящее заключение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составлено Бюджетно-финансовой комиссией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(далее – Комиссия) в составе: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64399F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председатель комиссии </w:t>
      </w:r>
      <w:r w:rsidRPr="0064399F">
        <w:rPr>
          <w:rStyle w:val="a8"/>
          <w:rFonts w:ascii="Times New Roman" w:hAnsi="Times New Roman"/>
          <w:i w:val="0"/>
          <w:color w:val="auto"/>
          <w:sz w:val="26"/>
          <w:szCs w:val="26"/>
        </w:rPr>
        <w:t>– депутат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Жиронкина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Л.В.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64399F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члены комиссии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– депутат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Андрюкова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И.В., депутат Оппенгейм Т.В., депутат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Черкесова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И.В.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соответствии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Положением о бюджетном процессе во внутригородском муниципальном образовании - муниципальном округе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проведении экспертизы была поставлена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задача </w:t>
      </w:r>
      <w:proofErr w:type="gram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сформировать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заключение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проект решения Совета депутатов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с точки зрения: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соответствия федеральному законодательству, законам города Москвы, нормативным документам Депа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ртамента финансов города Москвы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муниципальным правовым актам;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целесообразности и обоснованности п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роекта решения Совета депутатов</w:t>
      </w:r>
      <w:r w:rsidRPr="000F502C">
        <w:t xml:space="preserve">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стоящее заключение подготовлено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соответствии с Бюджетным кодексом Российской Федерации, Законом города Москвы от 10 сентября 2008 года № 39 «О бюджетном устройстве и бюджетном процессе 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городе Москве», 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Законом города Москвы от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01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>.11.202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№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39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города Москвы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2026 год и плановый период 2027 и 2028 годов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»,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Уставом 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,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Положением о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муниципального округа Бутырский в городе Москве от 21 октября 2025 года № 01-04/12-3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  <w:proofErr w:type="gramEnd"/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Перечень и содержание документов и материалов к проекту решения соответствует требованиям статьи 184.1 Бюджетного кодекса Российской Федерации.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подготовке данного заключения члены Комиссии проанализировали документы, внесенные одновременно с проектом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 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(далее – проект решения), а именно: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итоги социально-экономического развития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оценка ожидаемого исполнения бюджета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 2025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прогноз социально-экономического развития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2026-2028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параметры среднесрочного финансового плана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2026-2028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пояснительная записка к проекту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основные направления бюджетной и налоговой политики муниципального округа </w:t>
      </w: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Анализ проекта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и представленных одновременно с ним документов показал, что учтены все возможные пути решения вопросов местного значения и осуществления органами местного самоуправления отдельных полномочий города Москвы.</w:t>
      </w:r>
      <w:proofErr w:type="gramEnd"/>
    </w:p>
    <w:p w:rsidR="00F863BC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14531" w:rsidRPr="004E2F90" w:rsidRDefault="00F14531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157167" w:rsidRDefault="00F863BC" w:rsidP="00F14531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1. Общая характеристика бюджета </w:t>
      </w:r>
      <w:r w:rsidRPr="00017FF8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Default="00F863BC" w:rsidP="00F863BC">
      <w:pPr>
        <w:pStyle w:val="a4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14531" w:rsidRPr="00157167" w:rsidRDefault="00F14531" w:rsidP="00F863BC">
      <w:pPr>
        <w:pStyle w:val="a4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863BC" w:rsidRPr="00883DCB" w:rsidRDefault="00F863BC" w:rsidP="00F863BC">
      <w:pPr>
        <w:pStyle w:val="a4"/>
        <w:jc w:val="right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6"/>
        <w:gridCol w:w="1568"/>
        <w:gridCol w:w="1468"/>
        <w:gridCol w:w="1501"/>
        <w:gridCol w:w="1107"/>
      </w:tblGrid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Показатели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Уточненный план,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с учетом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изменений 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тыс.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руб.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Ожидаемое исполнение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Прогноз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тыс.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руб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.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right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ДОХОДЫ: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26514,4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26514,4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rPr>
          <w:trHeight w:val="127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24354,4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24354,4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2160,0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РАСХОДЫ: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29089,3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29079,3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33296,3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Обеспечение проведения выборов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 референдумов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3663,5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3663,5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2784,4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1157,3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1755,6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108,1</w:t>
            </w:r>
          </w:p>
        </w:tc>
      </w:tr>
    </w:tbl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Из данной таблицы следует, что ожидаемое исполнение плана по доходам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может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состав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ить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1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00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%,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 расходам – 100%, прогноз доходов и расходов предполагает исполнение бюджета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на 100,0%, т.е.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муниципальн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ое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 следует считать самодостаточным.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соответствии с проектом решения предлагается утвердить бюджет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по доходам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руб.; по расходам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руб. Общий объём расходов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увеличивается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 сравнению с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годом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сумму выплат ЕДП и индексацию.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157167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2. Доходы бюджета </w:t>
      </w:r>
      <w:r w:rsidRPr="00F02671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Pr="004E2F90" w:rsidRDefault="00F863BC" w:rsidP="00F863BC">
      <w:pPr>
        <w:pStyle w:val="a4"/>
        <w:jc w:val="center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Формирование доходной части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осуществлялось в условиях действующего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налогового законодательства, на основании показателей социально-экономического развития территории, с учетом основных направлений бюджетной и налоговой политики.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Объем налоговых и неналоговых доходов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прогнозируется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сумме: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(100,0% в общем объеме доходов).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этом норматив отчислений от налога на доходы физических лиц в бюджет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предусмотрен 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- 0,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1291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;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- 0,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1600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,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–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1303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883DCB" w:rsidRDefault="00F863BC" w:rsidP="00F863BC">
      <w:pPr>
        <w:pStyle w:val="a4"/>
        <w:ind w:left="6381" w:firstLine="709"/>
        <w:jc w:val="center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2</w:t>
      </w:r>
      <w:r>
        <w:rPr>
          <w:rStyle w:val="a8"/>
          <w:rFonts w:ascii="Times New Roman" w:hAnsi="Times New Roman"/>
          <w:i w:val="0"/>
          <w:color w:val="auto"/>
          <w:sz w:val="25"/>
          <w:szCs w:val="25"/>
        </w:rPr>
        <w:t xml:space="preserve"> </w:t>
      </w: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(</w:t>
      </w:r>
      <w:proofErr w:type="spell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тыс</w:t>
      </w:r>
      <w:proofErr w:type="gram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.р</w:t>
      </w:r>
      <w:proofErr w:type="gram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уб</w:t>
      </w:r>
      <w:proofErr w:type="spell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.)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5"/>
        <w:gridCol w:w="5387"/>
        <w:gridCol w:w="1276"/>
      </w:tblGrid>
      <w:tr w:rsidR="00F863BC" w:rsidRPr="00086F40" w:rsidTr="00F863BC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Коды классификации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bCs/>
                <w:sz w:val="22"/>
                <w:szCs w:val="22"/>
                <w:lang w:eastAsia="en-US"/>
              </w:rPr>
              <w:t>2026 год</w:t>
            </w:r>
          </w:p>
        </w:tc>
      </w:tr>
      <w:tr w:rsidR="00F863BC" w:rsidRPr="00086F40" w:rsidTr="00F863BC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2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2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24514,4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182 1 01 02030 01 0000 110</w:t>
            </w:r>
          </w:p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, не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превышающей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182 1 01 02080 01 0000 110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участия в организации, полученных физическим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182 1 01 02130 01 0000 110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900,0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182 1 01 02140 01 0000 110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4500,0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182 1 01 02150 01 0000 110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2300,0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182 1 01 02160 01 0000 110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700,0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182 1 01 02170 01 0000 110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500,0</w:t>
            </w:r>
          </w:p>
        </w:tc>
      </w:tr>
      <w:tr w:rsidR="00F863BC" w:rsidRPr="00086F40" w:rsidTr="00F863BC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182 1 01 02180 01 0000 110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312 тысяч рублей, относящейся к сумме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400,0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182 1 01 02210 01 0000 110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F863BC" w:rsidRPr="00086F40" w:rsidTr="00F863BC">
        <w:trPr>
          <w:trHeight w:val="3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bCs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</w:tbl>
    <w:p w:rsidR="00F863BC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863BC" w:rsidRPr="00065E32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3. Расходы бюджета </w:t>
      </w:r>
      <w:r w:rsidRPr="00F02671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Pr="004E2F90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Планирование бюджетных ассигнований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осуществлялось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соответствии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 расходными обязательствами (статья 87 БК РФ), полномочиями по решению вопросов местного значения, закрепленными Федеральным законом </w:t>
      </w:r>
      <w:r w:rsidRPr="00086F40">
        <w:rPr>
          <w:rStyle w:val="a8"/>
          <w:rFonts w:ascii="Times New Roman" w:hAnsi="Times New Roman"/>
          <w:i w:val="0"/>
          <w:color w:val="auto"/>
          <w:sz w:val="26"/>
          <w:szCs w:val="26"/>
        </w:rPr>
        <w:t>от 20 марта 2025 года № 33-ФЗ «Об общих принципах организации местного самоуправления в 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диной системе публичной власти»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Законом города Москвы от 6 ноября 2002 года № 56 «Об организации местного самоуправления в городе Москве».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Распределение бюджетных ассигнований по разделам, подразделам, целевым статьям и видам расходов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и прогноз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</w:t>
      </w: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представлены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таблице 3.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883DCB" w:rsidRDefault="00F863BC" w:rsidP="00F863BC">
      <w:pPr>
        <w:pStyle w:val="a4"/>
        <w:ind w:left="7090"/>
        <w:jc w:val="center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3</w:t>
      </w:r>
      <w:r>
        <w:rPr>
          <w:rStyle w:val="a8"/>
          <w:rFonts w:ascii="Times New Roman" w:hAnsi="Times New Roman"/>
          <w:i w:val="0"/>
          <w:color w:val="auto"/>
          <w:sz w:val="25"/>
          <w:szCs w:val="25"/>
        </w:rPr>
        <w:t xml:space="preserve"> </w:t>
      </w: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(</w:t>
      </w:r>
      <w:proofErr w:type="spell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тыс</w:t>
      </w:r>
      <w:proofErr w:type="gram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.р</w:t>
      </w:r>
      <w:proofErr w:type="gram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уб</w:t>
      </w:r>
      <w:proofErr w:type="spell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.)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376"/>
        <w:gridCol w:w="1601"/>
        <w:gridCol w:w="1559"/>
        <w:gridCol w:w="1134"/>
        <w:gridCol w:w="1134"/>
      </w:tblGrid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Уточненный план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 учетом изменений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Ожидаемое исполнение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Прогноз</w:t>
            </w:r>
          </w:p>
          <w:p w:rsidR="00F863BC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на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6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г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од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Темпы роста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в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% </w:t>
            </w: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предыдущему году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Аппарат Совета депутатов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111,5%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28599,7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28589,7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33296,3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116,4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Функционирование высшего должност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ного лица субъекта РФ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 муниципального образования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6498,1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6498,1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120,3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Функционирование законодательных (представительных) органов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государственной власти и представительных органов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муниципальных образований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2365,0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2365,0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9,6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 xml:space="preserve">Обеспечение </w:t>
            </w: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19308,0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19308,0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130,1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Обеспечение проведения выборов и референдумов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Резервные фонды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Другие общегосударственные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418,6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418,6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30,8%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Образование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ультуры, кинематографии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5514,7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5514,7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50,5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Социальная политика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1646,9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1646,9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106,6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103,6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Итого расходов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111,5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</w:tbl>
    <w:p w:rsidR="00F863BC" w:rsidRPr="004E2F90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Из таблицы 3 следует, что в целом расходы </w:t>
      </w:r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увеличилось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11,5%, за счет средств на межбюджетный трансферт, получаемый из бюджета города Москвы и выплаты ЕДП. 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Расходы по разделу «Общегосударственные вопросы» планируются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в объеме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33296,3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в 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ом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ч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исле на ф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ункционирование высшего должностного лица субъекта РФ и муниципального образования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расходы на функционирование законодательных (представительных) органов государственной власти и представительных органов муниципального образования (проезд для депутатов),</w:t>
      </w:r>
      <w:r w:rsidRPr="0050308F">
        <w:t xml:space="preserve"> </w:t>
      </w:r>
      <w:r>
        <w:t>о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</w:t>
      </w:r>
      <w:proofErr w:type="gramEnd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gramStart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местного значения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предусмотрен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резервный фонд</w:t>
      </w:r>
      <w:r w:rsidRPr="002468AC">
        <w:t xml:space="preserve"> </w:t>
      </w:r>
      <w:r w:rsidRPr="002468A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целях финансового обеспечения непредвиденных расходов, что составляет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не более </w:t>
      </w:r>
      <w:r w:rsidRPr="002468AC">
        <w:rPr>
          <w:rStyle w:val="a8"/>
          <w:rFonts w:ascii="Times New Roman" w:hAnsi="Times New Roman"/>
          <w:i w:val="0"/>
          <w:color w:val="auto"/>
          <w:sz w:val="26"/>
          <w:szCs w:val="26"/>
        </w:rPr>
        <w:t>3 % от общего объема расходов бюджета и не противоречит статье 81 Бюджетного кодекса Российской Федерации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другие общегосударственные вопросы (уплата членских взносов на осуществление деятельности Совета муниципальных образований города Москвы)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учитыва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ся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минимальн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ая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потребность в бюджетных средствах, необходимых для обеспечения функционирования органов местного самоуправления.</w:t>
      </w:r>
      <w:proofErr w:type="gramEnd"/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формировании расходов на выполнение полномочий, установленных пунктами 1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,3,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4,6,10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12,16-18, подпунктами "в", "г", «ж», "и", "к" пункта 19, пунктами 20-24 части 1 статьи 8, пунктами 1,2,4, 6.1 части 1 статьи 8.1 Закона города Москвы от 6 ноября 2002 года № 56 «Об организации местного самоуправления в городе Москве учтены расходы 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: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оплату труда муниципальных служащих определены на уровне оплаты труда работников управ районов города Москвы с учетом индексации размеров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окладов денежного содержания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году,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годах на уровне расходов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года, а также запланированы расходы на оплату единовременного денежного поощрении к юбилею, в связи с выслугой лет главы муниципального округа Бутырский и муниципальных служащих аппарата Совета депутатов </w:t>
      </w:r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</w:t>
      </w:r>
      <w:proofErr w:type="gramEnd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образования - муниципального округа </w:t>
      </w:r>
      <w:proofErr w:type="gramStart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согласно штатному расписанию;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начисления на оплату труда страховых взносов по единому налоговому платежу и взносов на обязательное социальное страхование от несчастных случаев на производстве и профессиональных заболеваний – 30,2%.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компенсационные выплаты за неиспользованную санаторно-курортную путевку (в размерах, предусмотренных нормативными правовыми актами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службы) из расчета 70,4 тыс. рублей на одного муниципального служащего в год (статья 31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единовременные денежные поощрения муниципальным служащим при достижении возраста 50 лет и далее каждые пять лет и при достижении стажа муниципальной службы 20 лет и далее каждые пять лет, а также единовременные денежные вознаграждения муниципальным служащим в случае освобождения от замещаемой должности и увольнения при наличии права на получение страховой пенсии по старости или страховой пенсии по инвалидности инвалидам I и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II групп (с учетом тарифов страховых взносов по соответствующему виду страхования) исходя из фактической потребности каждого муниципального округа (статья 31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компенсация за медицинское обслуживание главы муниципального округа Бутырский и муниципальных служащих аппарата Совета депутатов муниципального округа Бутырский с учетом количества членов его семьи (в размерах, предусмотренных нормативными правовыми актами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службы) из расчета 52,0 тыс. рублей на одного муниципального служащего и 41,2 тыс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. рублей на одного члена семьи муниципального служащего в го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д(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статья 30 Закона № 50); 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профессиональную переподготовку и повышение квалификации муниципальных служащих – на уровне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 и с учетом потребности осуществления повышения квалификации муниципальных служащих (Закон города Москвы от 22 октября 2008 года № 50 «О муниципальной службе в городе Москве», но не реже одно раза в пять лет (статья 42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материальные затраты, связанные с обеспечением деятельности главы муниципального округа Бутырский и муниципальных служащих аппарата Совета депутатов муниципального округа Бутырский (услуги связи, интернета, коммунальные и эксплуатационные услуги, услуги по содержанию имущества, обязательное государственное страхование на случай причинения вреда жизни или здоровью в связи с исполнением работником должностных обязанностей, на профессиональную переподготовку и повышение квалификации  муниципальных служащих, услуги по техническому обслуживанию  охранной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, тревожной и пожарной сигнализации помещения,  услуги по  уборке помещения, услуги по сопровождению нормативно-правовой базы, программы автоматизации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бухгалтерского учета, обслуживание оргтехники, приобретение основных средств, приобретение канцелярских принадлежностей и расходных материалов, картриджей для оргтехники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)н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а уровне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года. 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Объем межбюджетных трансфертов, предоставляемых из бюджета муниципального округа Бутырский, в части содержания муниципальных служащих, вышедших на пенсию (4 человека), планируется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 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Предоставление межбюджетных трансфертов осуществляется на основании   соглашения между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муниципальн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ым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муниципального округа </w:t>
      </w:r>
      <w:proofErr w:type="gramStart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и органом исполнительной власти города Москвы.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Компенсационные выплаты за неиспользованную санаторно-курортную путевку муниципальным служащим, вышедшим на пенсию,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в размере 281,6 тыс. (70,4 тыс. рублей на 1 человека в год). Медицинское обслуживание муниципальных служащих, вышедших на пенсию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в размере 208,0 тыс. руб. – планируется из расчета 52,0 тыс. рублей на одного муниципального служащего (4 человека).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Прочие межбюджетные трансферты, передаваемые бюджету муниципального округа в целях повышения эффективности осуществления Советом депутатов муниципального округа переданных 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полномочий города Москвы, в бюджете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не 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определены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. Распределение рассматриваемого межбюджетного трансферта между бюджетами муниципальных округов осуществляется в порядке, установленном Правительством Москвы, а предоставление - на основании             соглашения между органом исполнительной власти города Москвы и муниципальным округом.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формировании расходов на оплату проезда депутата Совета депутатов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всех видах городского пассажирского транспорта, за исключением такси и маршрутного такси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226,5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 депутатов*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5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руб.)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226,5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 депутатов*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5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руб.);</w:t>
      </w:r>
      <w:proofErr w:type="gramEnd"/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формировании расходов по иным полномочиям по решению вопросов местного значения (за исключением полномочий, указанных в графах 2 и 3 приложения к проекту закона города Москвы «О бюджете города Москвы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годов)) в расчете на одного жителя муниципального округа Бутырский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42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рублей составляет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3031,4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 (7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2177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чел.*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42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руб.):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резервный фонд в целях финансового обеспечения непредвиденных расходов в сумме 10,0 тыс. руб., что составляет 0,0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% от общего объема расходов бюджета и не противоречит статье 81 Бюджетного кодекса Российской Федерации, устанавливающей предельный размер фонда (3 % от общего объема расходов бюджета);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 xml:space="preserve">- другие общегосударственные вопросы (уплата членских взносов на осуществление деятельности Совета муниципальных образований города Москвы)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128,9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проведение местных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праздничных мероприятий на 2026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2784,4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на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–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1932,9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1336,0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На другие вопросы в области средств массовой информации (содержание и обслуживание сайта) запланированы расходы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108,1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</w:t>
      </w:r>
    </w:p>
    <w:p w:rsidR="00F863BC" w:rsidRPr="004E2F90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По результатам проведенной экспертизы по проекту решения Совета депутатов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 бюджете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на плановый период 2027 и 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годов» установлено,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что расходная часть бюджета сформирована на основе реестра расходных обязательств с соблюдением всех требований бюджетного законодательст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ва РФ, города Москвы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 норматив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ных правовых актов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. </w:t>
      </w:r>
    </w:p>
    <w:sectPr w:rsidR="00F863BC" w:rsidRPr="004E2F90" w:rsidSect="00F14531">
      <w:headerReference w:type="default" r:id="rId11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94" w:rsidRDefault="00BC0394" w:rsidP="00F14531">
      <w:r>
        <w:separator/>
      </w:r>
    </w:p>
  </w:endnote>
  <w:endnote w:type="continuationSeparator" w:id="0">
    <w:p w:rsidR="00BC0394" w:rsidRDefault="00BC0394" w:rsidP="00F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94" w:rsidRDefault="00BC0394" w:rsidP="00F14531">
      <w:r>
        <w:separator/>
      </w:r>
    </w:p>
  </w:footnote>
  <w:footnote w:type="continuationSeparator" w:id="0">
    <w:p w:rsidR="00BC0394" w:rsidRDefault="00BC0394" w:rsidP="00F1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840832"/>
      <w:docPartObj>
        <w:docPartGallery w:val="Page Numbers (Top of Page)"/>
        <w:docPartUnique/>
      </w:docPartObj>
    </w:sdtPr>
    <w:sdtEndPr/>
    <w:sdtContent>
      <w:p w:rsidR="00F14531" w:rsidRDefault="00F145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507B"/>
    <w:multiLevelType w:val="hybridMultilevel"/>
    <w:tmpl w:val="0A34C6CE"/>
    <w:lvl w:ilvl="0" w:tplc="5F8E3948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FF"/>
    <w:rsid w:val="0000401A"/>
    <w:rsid w:val="0001301A"/>
    <w:rsid w:val="00013FB6"/>
    <w:rsid w:val="00015864"/>
    <w:rsid w:val="00027536"/>
    <w:rsid w:val="00031C40"/>
    <w:rsid w:val="0003221A"/>
    <w:rsid w:val="000328A8"/>
    <w:rsid w:val="00033EB4"/>
    <w:rsid w:val="000352C0"/>
    <w:rsid w:val="000361B9"/>
    <w:rsid w:val="00043422"/>
    <w:rsid w:val="00060992"/>
    <w:rsid w:val="000633F0"/>
    <w:rsid w:val="00063733"/>
    <w:rsid w:val="00064FC6"/>
    <w:rsid w:val="00065883"/>
    <w:rsid w:val="00065E32"/>
    <w:rsid w:val="00066DC9"/>
    <w:rsid w:val="0007074B"/>
    <w:rsid w:val="0008139D"/>
    <w:rsid w:val="00084C05"/>
    <w:rsid w:val="0008664E"/>
    <w:rsid w:val="00096400"/>
    <w:rsid w:val="000A271B"/>
    <w:rsid w:val="000A48CA"/>
    <w:rsid w:val="000A5388"/>
    <w:rsid w:val="000A6D57"/>
    <w:rsid w:val="000B0FEC"/>
    <w:rsid w:val="000B704F"/>
    <w:rsid w:val="000D2807"/>
    <w:rsid w:val="000D4DF3"/>
    <w:rsid w:val="000E59F0"/>
    <w:rsid w:val="000F26C8"/>
    <w:rsid w:val="000F2CA7"/>
    <w:rsid w:val="000F3EA9"/>
    <w:rsid w:val="000F435C"/>
    <w:rsid w:val="00112018"/>
    <w:rsid w:val="00113321"/>
    <w:rsid w:val="00113882"/>
    <w:rsid w:val="001144B1"/>
    <w:rsid w:val="00115100"/>
    <w:rsid w:val="001155B7"/>
    <w:rsid w:val="001173C1"/>
    <w:rsid w:val="001210AA"/>
    <w:rsid w:val="001213F4"/>
    <w:rsid w:val="0012217E"/>
    <w:rsid w:val="00122282"/>
    <w:rsid w:val="00152A01"/>
    <w:rsid w:val="00153EED"/>
    <w:rsid w:val="00157167"/>
    <w:rsid w:val="0015765B"/>
    <w:rsid w:val="001623CA"/>
    <w:rsid w:val="00166AEE"/>
    <w:rsid w:val="00167FEE"/>
    <w:rsid w:val="00170400"/>
    <w:rsid w:val="001749BB"/>
    <w:rsid w:val="001828DF"/>
    <w:rsid w:val="00187297"/>
    <w:rsid w:val="001A6B6C"/>
    <w:rsid w:val="001B293A"/>
    <w:rsid w:val="001B3C4B"/>
    <w:rsid w:val="001B7C8D"/>
    <w:rsid w:val="001B7CBA"/>
    <w:rsid w:val="001C18B4"/>
    <w:rsid w:val="001C269F"/>
    <w:rsid w:val="001C6949"/>
    <w:rsid w:val="001D0AB0"/>
    <w:rsid w:val="001D2CA4"/>
    <w:rsid w:val="001D5150"/>
    <w:rsid w:val="001D62C4"/>
    <w:rsid w:val="001D6664"/>
    <w:rsid w:val="001E1BC8"/>
    <w:rsid w:val="001F099B"/>
    <w:rsid w:val="002000E0"/>
    <w:rsid w:val="00200CFA"/>
    <w:rsid w:val="00232900"/>
    <w:rsid w:val="0023459A"/>
    <w:rsid w:val="00236440"/>
    <w:rsid w:val="002468AC"/>
    <w:rsid w:val="00246B0F"/>
    <w:rsid w:val="00251E27"/>
    <w:rsid w:val="0025203D"/>
    <w:rsid w:val="002551DC"/>
    <w:rsid w:val="00266192"/>
    <w:rsid w:val="00272C77"/>
    <w:rsid w:val="0027316D"/>
    <w:rsid w:val="00275751"/>
    <w:rsid w:val="00286B95"/>
    <w:rsid w:val="00294B98"/>
    <w:rsid w:val="002A3AFD"/>
    <w:rsid w:val="002A3C52"/>
    <w:rsid w:val="002B00F6"/>
    <w:rsid w:val="002B122C"/>
    <w:rsid w:val="002B3679"/>
    <w:rsid w:val="002B6F1C"/>
    <w:rsid w:val="002D6956"/>
    <w:rsid w:val="002E0993"/>
    <w:rsid w:val="002E3A30"/>
    <w:rsid w:val="002E51D1"/>
    <w:rsid w:val="002F0897"/>
    <w:rsid w:val="002F110A"/>
    <w:rsid w:val="002F17F8"/>
    <w:rsid w:val="002F6F60"/>
    <w:rsid w:val="003012A4"/>
    <w:rsid w:val="00306A2C"/>
    <w:rsid w:val="00310006"/>
    <w:rsid w:val="003173AB"/>
    <w:rsid w:val="00324291"/>
    <w:rsid w:val="00327A75"/>
    <w:rsid w:val="003335B7"/>
    <w:rsid w:val="003379EE"/>
    <w:rsid w:val="00353A62"/>
    <w:rsid w:val="00354FB4"/>
    <w:rsid w:val="00357A23"/>
    <w:rsid w:val="00362B7F"/>
    <w:rsid w:val="00366437"/>
    <w:rsid w:val="00366E02"/>
    <w:rsid w:val="003678DF"/>
    <w:rsid w:val="00371590"/>
    <w:rsid w:val="00371824"/>
    <w:rsid w:val="00371DC1"/>
    <w:rsid w:val="003845DD"/>
    <w:rsid w:val="003868C9"/>
    <w:rsid w:val="00386A25"/>
    <w:rsid w:val="00394CD9"/>
    <w:rsid w:val="003963B8"/>
    <w:rsid w:val="003A0589"/>
    <w:rsid w:val="003C0D4B"/>
    <w:rsid w:val="003C776C"/>
    <w:rsid w:val="003D000E"/>
    <w:rsid w:val="003D1850"/>
    <w:rsid w:val="003D1863"/>
    <w:rsid w:val="003D1DB8"/>
    <w:rsid w:val="003D6E98"/>
    <w:rsid w:val="003E0404"/>
    <w:rsid w:val="003E0A33"/>
    <w:rsid w:val="003F1BC1"/>
    <w:rsid w:val="003F6DF0"/>
    <w:rsid w:val="00403CD0"/>
    <w:rsid w:val="00405A1F"/>
    <w:rsid w:val="00406F80"/>
    <w:rsid w:val="00421D0D"/>
    <w:rsid w:val="00422AD1"/>
    <w:rsid w:val="0043109F"/>
    <w:rsid w:val="00431533"/>
    <w:rsid w:val="00432F4D"/>
    <w:rsid w:val="004339B7"/>
    <w:rsid w:val="00436445"/>
    <w:rsid w:val="00452684"/>
    <w:rsid w:val="00452CE4"/>
    <w:rsid w:val="00457BD9"/>
    <w:rsid w:val="0046147B"/>
    <w:rsid w:val="00466872"/>
    <w:rsid w:val="00475D59"/>
    <w:rsid w:val="00483FC2"/>
    <w:rsid w:val="00493E0F"/>
    <w:rsid w:val="004C3201"/>
    <w:rsid w:val="004C5824"/>
    <w:rsid w:val="004D63FB"/>
    <w:rsid w:val="004E2F90"/>
    <w:rsid w:val="004F5000"/>
    <w:rsid w:val="0050308F"/>
    <w:rsid w:val="005031CF"/>
    <w:rsid w:val="00505323"/>
    <w:rsid w:val="0051038F"/>
    <w:rsid w:val="005129E4"/>
    <w:rsid w:val="00514616"/>
    <w:rsid w:val="005149AF"/>
    <w:rsid w:val="005225BC"/>
    <w:rsid w:val="005327ED"/>
    <w:rsid w:val="00535991"/>
    <w:rsid w:val="00541705"/>
    <w:rsid w:val="005448FD"/>
    <w:rsid w:val="005475BA"/>
    <w:rsid w:val="0055776D"/>
    <w:rsid w:val="005621D0"/>
    <w:rsid w:val="005630E0"/>
    <w:rsid w:val="00564BC7"/>
    <w:rsid w:val="005706FA"/>
    <w:rsid w:val="00573E10"/>
    <w:rsid w:val="00574FA1"/>
    <w:rsid w:val="005761EC"/>
    <w:rsid w:val="005762AC"/>
    <w:rsid w:val="00580B4F"/>
    <w:rsid w:val="00583E73"/>
    <w:rsid w:val="00584CC4"/>
    <w:rsid w:val="00584D47"/>
    <w:rsid w:val="00585891"/>
    <w:rsid w:val="00590233"/>
    <w:rsid w:val="00592422"/>
    <w:rsid w:val="00595B05"/>
    <w:rsid w:val="0059749F"/>
    <w:rsid w:val="005A22D5"/>
    <w:rsid w:val="005A452B"/>
    <w:rsid w:val="005A559E"/>
    <w:rsid w:val="005B1B31"/>
    <w:rsid w:val="005B22EF"/>
    <w:rsid w:val="005B29D4"/>
    <w:rsid w:val="005C25F1"/>
    <w:rsid w:val="005C3F48"/>
    <w:rsid w:val="005C5742"/>
    <w:rsid w:val="005C76A7"/>
    <w:rsid w:val="005D0E3E"/>
    <w:rsid w:val="005D3BB5"/>
    <w:rsid w:val="005E4B94"/>
    <w:rsid w:val="005E6D19"/>
    <w:rsid w:val="005E72B3"/>
    <w:rsid w:val="005F1D4C"/>
    <w:rsid w:val="005F223D"/>
    <w:rsid w:val="005F282B"/>
    <w:rsid w:val="005F6B4F"/>
    <w:rsid w:val="00607CE7"/>
    <w:rsid w:val="006109AA"/>
    <w:rsid w:val="00615A57"/>
    <w:rsid w:val="006270B3"/>
    <w:rsid w:val="006312F6"/>
    <w:rsid w:val="00641EBF"/>
    <w:rsid w:val="0064366C"/>
    <w:rsid w:val="00645DD6"/>
    <w:rsid w:val="00646981"/>
    <w:rsid w:val="00656D4B"/>
    <w:rsid w:val="00656E4C"/>
    <w:rsid w:val="006575EC"/>
    <w:rsid w:val="0066414A"/>
    <w:rsid w:val="006646B7"/>
    <w:rsid w:val="0067100A"/>
    <w:rsid w:val="006717A5"/>
    <w:rsid w:val="006736E9"/>
    <w:rsid w:val="00675630"/>
    <w:rsid w:val="0067716E"/>
    <w:rsid w:val="006800BB"/>
    <w:rsid w:val="00683D22"/>
    <w:rsid w:val="00685A5F"/>
    <w:rsid w:val="00690EDF"/>
    <w:rsid w:val="00692396"/>
    <w:rsid w:val="006965B0"/>
    <w:rsid w:val="0069725A"/>
    <w:rsid w:val="006A239C"/>
    <w:rsid w:val="006A34BC"/>
    <w:rsid w:val="006B244C"/>
    <w:rsid w:val="006C47F4"/>
    <w:rsid w:val="006D0DD0"/>
    <w:rsid w:val="006D129D"/>
    <w:rsid w:val="006D491E"/>
    <w:rsid w:val="006E05D7"/>
    <w:rsid w:val="006E73A6"/>
    <w:rsid w:val="006E7D2F"/>
    <w:rsid w:val="0071559A"/>
    <w:rsid w:val="007177C1"/>
    <w:rsid w:val="00721866"/>
    <w:rsid w:val="00731447"/>
    <w:rsid w:val="00731CA6"/>
    <w:rsid w:val="00731E8F"/>
    <w:rsid w:val="007329D6"/>
    <w:rsid w:val="007440B8"/>
    <w:rsid w:val="00745146"/>
    <w:rsid w:val="00750425"/>
    <w:rsid w:val="00755A3F"/>
    <w:rsid w:val="00761AFA"/>
    <w:rsid w:val="00763AA8"/>
    <w:rsid w:val="00763DAB"/>
    <w:rsid w:val="00771589"/>
    <w:rsid w:val="00771D35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3D9D"/>
    <w:rsid w:val="007B49C5"/>
    <w:rsid w:val="007B788F"/>
    <w:rsid w:val="007D02D7"/>
    <w:rsid w:val="007D050C"/>
    <w:rsid w:val="007E1BC7"/>
    <w:rsid w:val="007E1F04"/>
    <w:rsid w:val="007F1A75"/>
    <w:rsid w:val="007F569B"/>
    <w:rsid w:val="00805704"/>
    <w:rsid w:val="00807F92"/>
    <w:rsid w:val="00813A78"/>
    <w:rsid w:val="008153EF"/>
    <w:rsid w:val="0082176C"/>
    <w:rsid w:val="00822133"/>
    <w:rsid w:val="0083721D"/>
    <w:rsid w:val="00841209"/>
    <w:rsid w:val="0084153A"/>
    <w:rsid w:val="008445F9"/>
    <w:rsid w:val="008465EB"/>
    <w:rsid w:val="00850BD6"/>
    <w:rsid w:val="00854E40"/>
    <w:rsid w:val="0087608D"/>
    <w:rsid w:val="00883DCB"/>
    <w:rsid w:val="00885300"/>
    <w:rsid w:val="00886440"/>
    <w:rsid w:val="00886F48"/>
    <w:rsid w:val="008967E0"/>
    <w:rsid w:val="00897758"/>
    <w:rsid w:val="008A0AA7"/>
    <w:rsid w:val="008B743F"/>
    <w:rsid w:val="008D1203"/>
    <w:rsid w:val="008D3C2C"/>
    <w:rsid w:val="008D5A34"/>
    <w:rsid w:val="008D6A48"/>
    <w:rsid w:val="008E0D60"/>
    <w:rsid w:val="00904DE2"/>
    <w:rsid w:val="009104FE"/>
    <w:rsid w:val="00922D09"/>
    <w:rsid w:val="00923E4D"/>
    <w:rsid w:val="00942FC6"/>
    <w:rsid w:val="00943922"/>
    <w:rsid w:val="00943974"/>
    <w:rsid w:val="00946D8B"/>
    <w:rsid w:val="009605F6"/>
    <w:rsid w:val="00974D78"/>
    <w:rsid w:val="00983396"/>
    <w:rsid w:val="00991C5E"/>
    <w:rsid w:val="009941FF"/>
    <w:rsid w:val="009943CF"/>
    <w:rsid w:val="009971B5"/>
    <w:rsid w:val="009A1159"/>
    <w:rsid w:val="009B0B6C"/>
    <w:rsid w:val="009B655A"/>
    <w:rsid w:val="009C2F79"/>
    <w:rsid w:val="009D0D35"/>
    <w:rsid w:val="009D2AFA"/>
    <w:rsid w:val="009D6697"/>
    <w:rsid w:val="009E799E"/>
    <w:rsid w:val="009E7ABC"/>
    <w:rsid w:val="009F720F"/>
    <w:rsid w:val="00A0069E"/>
    <w:rsid w:val="00A12C8F"/>
    <w:rsid w:val="00A159A5"/>
    <w:rsid w:val="00A17185"/>
    <w:rsid w:val="00A208D3"/>
    <w:rsid w:val="00A2263B"/>
    <w:rsid w:val="00A31AAB"/>
    <w:rsid w:val="00A35042"/>
    <w:rsid w:val="00A36F40"/>
    <w:rsid w:val="00A44607"/>
    <w:rsid w:val="00A52638"/>
    <w:rsid w:val="00A6292B"/>
    <w:rsid w:val="00A80BCA"/>
    <w:rsid w:val="00A84900"/>
    <w:rsid w:val="00A8672B"/>
    <w:rsid w:val="00A87811"/>
    <w:rsid w:val="00A91058"/>
    <w:rsid w:val="00A914E4"/>
    <w:rsid w:val="00AA59F7"/>
    <w:rsid w:val="00AB511B"/>
    <w:rsid w:val="00AB7927"/>
    <w:rsid w:val="00AC0C6C"/>
    <w:rsid w:val="00AC30AE"/>
    <w:rsid w:val="00AC76E5"/>
    <w:rsid w:val="00AD23E7"/>
    <w:rsid w:val="00AD5F48"/>
    <w:rsid w:val="00AD66B4"/>
    <w:rsid w:val="00AE0673"/>
    <w:rsid w:val="00AE0E1C"/>
    <w:rsid w:val="00AE2032"/>
    <w:rsid w:val="00AE3C1F"/>
    <w:rsid w:val="00AE49EA"/>
    <w:rsid w:val="00AE7D6C"/>
    <w:rsid w:val="00AF56C8"/>
    <w:rsid w:val="00B012F2"/>
    <w:rsid w:val="00B02AD9"/>
    <w:rsid w:val="00B150E0"/>
    <w:rsid w:val="00B173FB"/>
    <w:rsid w:val="00B26D12"/>
    <w:rsid w:val="00B3168B"/>
    <w:rsid w:val="00B332D0"/>
    <w:rsid w:val="00B33AA0"/>
    <w:rsid w:val="00B42D7A"/>
    <w:rsid w:val="00B47158"/>
    <w:rsid w:val="00B507D6"/>
    <w:rsid w:val="00B61AFA"/>
    <w:rsid w:val="00B668FA"/>
    <w:rsid w:val="00B67E8F"/>
    <w:rsid w:val="00B73A2C"/>
    <w:rsid w:val="00B81286"/>
    <w:rsid w:val="00B8228C"/>
    <w:rsid w:val="00B85E17"/>
    <w:rsid w:val="00B956B8"/>
    <w:rsid w:val="00BA366E"/>
    <w:rsid w:val="00BB51F0"/>
    <w:rsid w:val="00BC0394"/>
    <w:rsid w:val="00BC2652"/>
    <w:rsid w:val="00BC3E01"/>
    <w:rsid w:val="00BC5E03"/>
    <w:rsid w:val="00BC75EF"/>
    <w:rsid w:val="00BD22C3"/>
    <w:rsid w:val="00BD29E0"/>
    <w:rsid w:val="00BD2CAB"/>
    <w:rsid w:val="00BD4188"/>
    <w:rsid w:val="00BD45BB"/>
    <w:rsid w:val="00BF427C"/>
    <w:rsid w:val="00BF4873"/>
    <w:rsid w:val="00BF5080"/>
    <w:rsid w:val="00C0491C"/>
    <w:rsid w:val="00C0688E"/>
    <w:rsid w:val="00C15AE3"/>
    <w:rsid w:val="00C201D9"/>
    <w:rsid w:val="00C205C6"/>
    <w:rsid w:val="00C207C2"/>
    <w:rsid w:val="00C25F1B"/>
    <w:rsid w:val="00C32BCA"/>
    <w:rsid w:val="00C3751D"/>
    <w:rsid w:val="00C441BA"/>
    <w:rsid w:val="00C55415"/>
    <w:rsid w:val="00C5733E"/>
    <w:rsid w:val="00C634B8"/>
    <w:rsid w:val="00C64E1C"/>
    <w:rsid w:val="00C6735B"/>
    <w:rsid w:val="00C7002F"/>
    <w:rsid w:val="00C72DD1"/>
    <w:rsid w:val="00C74936"/>
    <w:rsid w:val="00C8029A"/>
    <w:rsid w:val="00C845AA"/>
    <w:rsid w:val="00C86289"/>
    <w:rsid w:val="00C87BF6"/>
    <w:rsid w:val="00C9446F"/>
    <w:rsid w:val="00CA4C3B"/>
    <w:rsid w:val="00CA5315"/>
    <w:rsid w:val="00CA5B6B"/>
    <w:rsid w:val="00CB578C"/>
    <w:rsid w:val="00CC5CDD"/>
    <w:rsid w:val="00CC7C43"/>
    <w:rsid w:val="00CD39FB"/>
    <w:rsid w:val="00CD4BFC"/>
    <w:rsid w:val="00CD5AF8"/>
    <w:rsid w:val="00CE0AB5"/>
    <w:rsid w:val="00CE1704"/>
    <w:rsid w:val="00CE1C33"/>
    <w:rsid w:val="00CE24BE"/>
    <w:rsid w:val="00CE7A43"/>
    <w:rsid w:val="00CF3BED"/>
    <w:rsid w:val="00D1475C"/>
    <w:rsid w:val="00D15538"/>
    <w:rsid w:val="00D16801"/>
    <w:rsid w:val="00D250FA"/>
    <w:rsid w:val="00D33B2F"/>
    <w:rsid w:val="00D35D32"/>
    <w:rsid w:val="00D40189"/>
    <w:rsid w:val="00D45954"/>
    <w:rsid w:val="00D50D0E"/>
    <w:rsid w:val="00D537BE"/>
    <w:rsid w:val="00D53BE1"/>
    <w:rsid w:val="00D5432E"/>
    <w:rsid w:val="00D56CAF"/>
    <w:rsid w:val="00D63F6C"/>
    <w:rsid w:val="00D66336"/>
    <w:rsid w:val="00D70DE9"/>
    <w:rsid w:val="00D73361"/>
    <w:rsid w:val="00D77874"/>
    <w:rsid w:val="00D808AC"/>
    <w:rsid w:val="00D82342"/>
    <w:rsid w:val="00D86986"/>
    <w:rsid w:val="00D86FD8"/>
    <w:rsid w:val="00D90BDD"/>
    <w:rsid w:val="00DA41B8"/>
    <w:rsid w:val="00DA43C8"/>
    <w:rsid w:val="00DB1018"/>
    <w:rsid w:val="00DB3808"/>
    <w:rsid w:val="00DB42A6"/>
    <w:rsid w:val="00DB6CD4"/>
    <w:rsid w:val="00DC3A70"/>
    <w:rsid w:val="00DD2A31"/>
    <w:rsid w:val="00DD6E0F"/>
    <w:rsid w:val="00DE6574"/>
    <w:rsid w:val="00DE774E"/>
    <w:rsid w:val="00DF21DE"/>
    <w:rsid w:val="00E03019"/>
    <w:rsid w:val="00E114D9"/>
    <w:rsid w:val="00E139DE"/>
    <w:rsid w:val="00E14414"/>
    <w:rsid w:val="00E21601"/>
    <w:rsid w:val="00E220DC"/>
    <w:rsid w:val="00E24718"/>
    <w:rsid w:val="00E269A9"/>
    <w:rsid w:val="00E26FC7"/>
    <w:rsid w:val="00E31292"/>
    <w:rsid w:val="00E33EAF"/>
    <w:rsid w:val="00E35028"/>
    <w:rsid w:val="00E40442"/>
    <w:rsid w:val="00E5193C"/>
    <w:rsid w:val="00E52570"/>
    <w:rsid w:val="00E5279A"/>
    <w:rsid w:val="00E56235"/>
    <w:rsid w:val="00E57CA5"/>
    <w:rsid w:val="00E71A24"/>
    <w:rsid w:val="00E71A8A"/>
    <w:rsid w:val="00E7205D"/>
    <w:rsid w:val="00E77B88"/>
    <w:rsid w:val="00E85ECA"/>
    <w:rsid w:val="00E93C90"/>
    <w:rsid w:val="00EA1DBC"/>
    <w:rsid w:val="00EB2CF9"/>
    <w:rsid w:val="00EB7709"/>
    <w:rsid w:val="00EC117F"/>
    <w:rsid w:val="00EC153D"/>
    <w:rsid w:val="00EC726B"/>
    <w:rsid w:val="00ED0CCC"/>
    <w:rsid w:val="00EF06D1"/>
    <w:rsid w:val="00EF1676"/>
    <w:rsid w:val="00F00CA4"/>
    <w:rsid w:val="00F03729"/>
    <w:rsid w:val="00F14531"/>
    <w:rsid w:val="00F219E4"/>
    <w:rsid w:val="00F270F5"/>
    <w:rsid w:val="00F27E1E"/>
    <w:rsid w:val="00F316FA"/>
    <w:rsid w:val="00F363C7"/>
    <w:rsid w:val="00F36CFD"/>
    <w:rsid w:val="00F4760C"/>
    <w:rsid w:val="00F60210"/>
    <w:rsid w:val="00F611CA"/>
    <w:rsid w:val="00F64B68"/>
    <w:rsid w:val="00F67A5B"/>
    <w:rsid w:val="00F70822"/>
    <w:rsid w:val="00F7329F"/>
    <w:rsid w:val="00F749C0"/>
    <w:rsid w:val="00F81DF5"/>
    <w:rsid w:val="00F83960"/>
    <w:rsid w:val="00F863BC"/>
    <w:rsid w:val="00F86C4F"/>
    <w:rsid w:val="00F95113"/>
    <w:rsid w:val="00F960FA"/>
    <w:rsid w:val="00FA1570"/>
    <w:rsid w:val="00FA2AF0"/>
    <w:rsid w:val="00FA3FFF"/>
    <w:rsid w:val="00FC7AB3"/>
    <w:rsid w:val="00FD1528"/>
    <w:rsid w:val="00FD2C1C"/>
    <w:rsid w:val="00FD4C93"/>
    <w:rsid w:val="00FE442E"/>
    <w:rsid w:val="00FE6D41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74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1576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129E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129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29E4"/>
  </w:style>
  <w:style w:type="character" w:styleId="a8">
    <w:name w:val="Subtle Emphasis"/>
    <w:basedOn w:val="a0"/>
    <w:uiPriority w:val="19"/>
    <w:qFormat/>
    <w:rsid w:val="005129E4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semiHidden/>
    <w:rsid w:val="00C749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11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110A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D29E0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64366C"/>
    <w:rPr>
      <w:rFonts w:ascii="Calibri" w:eastAsia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453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453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74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1576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129E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129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29E4"/>
  </w:style>
  <w:style w:type="character" w:styleId="a8">
    <w:name w:val="Subtle Emphasis"/>
    <w:basedOn w:val="a0"/>
    <w:uiPriority w:val="19"/>
    <w:qFormat/>
    <w:rsid w:val="005129E4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semiHidden/>
    <w:rsid w:val="00C749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11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110A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D29E0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64366C"/>
    <w:rPr>
      <w:rFonts w:ascii="Calibri" w:eastAsia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453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453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tyr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4D6F-398E-4E0F-A995-25CD6106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13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144</cp:revision>
  <cp:lastPrinted>2024-12-17T12:37:00Z</cp:lastPrinted>
  <dcterms:created xsi:type="dcterms:W3CDTF">2014-11-14T10:49:00Z</dcterms:created>
  <dcterms:modified xsi:type="dcterms:W3CDTF">2025-12-15T06:19:00Z</dcterms:modified>
</cp:coreProperties>
</file>