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2D" w:rsidRPr="00267D93" w:rsidRDefault="00A6442D" w:rsidP="00A6442D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6BD62242" wp14:editId="10ED2801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42D" w:rsidRPr="00267D93" w:rsidRDefault="00A6442D" w:rsidP="00A644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A6442D" w:rsidRPr="00267D93" w:rsidRDefault="00A6442D" w:rsidP="00A6442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267D93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A6442D" w:rsidRPr="00267D93" w:rsidRDefault="00A6442D" w:rsidP="00A644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267D93">
        <w:rPr>
          <w:rFonts w:eastAsia="Calibri"/>
          <w:b/>
          <w:sz w:val="36"/>
          <w:szCs w:val="36"/>
          <w:lang w:eastAsia="en-US"/>
        </w:rPr>
        <w:t>БУТЫРСКИЙ</w:t>
      </w:r>
    </w:p>
    <w:p w:rsidR="00A6442D" w:rsidRPr="00267D93" w:rsidRDefault="00A6442D" w:rsidP="00A6442D">
      <w:pPr>
        <w:rPr>
          <w:rFonts w:eastAsia="Calibri"/>
          <w:b/>
          <w:sz w:val="36"/>
          <w:szCs w:val="36"/>
          <w:lang w:eastAsia="en-US"/>
        </w:rPr>
      </w:pPr>
    </w:p>
    <w:p w:rsidR="00A6442D" w:rsidRPr="00267D93" w:rsidRDefault="00A6442D" w:rsidP="00A6442D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267D93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267D93">
        <w:rPr>
          <w:rFonts w:eastAsia="Calibri"/>
          <w:b/>
          <w:sz w:val="36"/>
          <w:szCs w:val="36"/>
          <w:lang w:eastAsia="en-US"/>
        </w:rPr>
        <w:t xml:space="preserve"> Е Ш Е Н И Е</w:t>
      </w:r>
      <w:r>
        <w:rPr>
          <w:rFonts w:eastAsia="Calibri"/>
          <w:b/>
          <w:sz w:val="36"/>
          <w:szCs w:val="36"/>
          <w:lang w:eastAsia="en-US"/>
        </w:rPr>
        <w:t xml:space="preserve"> </w:t>
      </w:r>
    </w:p>
    <w:p w:rsidR="00A6442D" w:rsidRDefault="00A6442D" w:rsidP="00A6442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06981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AE51F1"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A6442D" w:rsidRPr="0021172C" w:rsidRDefault="00A6442D" w:rsidP="00A6442D">
      <w:pPr>
        <w:rPr>
          <w:rFonts w:eastAsia="Calibri"/>
          <w:b/>
          <w:sz w:val="28"/>
          <w:szCs w:val="28"/>
          <w:lang w:eastAsia="en-US"/>
        </w:rPr>
      </w:pPr>
    </w:p>
    <w:p w:rsidR="00A6442D" w:rsidRPr="0021172C" w:rsidRDefault="00A6442D" w:rsidP="00A6442D">
      <w:pPr>
        <w:ind w:right="5244"/>
        <w:jc w:val="both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О проведении дополнительных мероприятий 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A6442D" w:rsidRPr="0021172C" w:rsidRDefault="00A6442D" w:rsidP="00A6442D">
      <w:pPr>
        <w:rPr>
          <w:b/>
          <w:color w:val="000000"/>
          <w:sz w:val="26"/>
          <w:szCs w:val="26"/>
        </w:rPr>
      </w:pPr>
    </w:p>
    <w:p w:rsidR="00A6442D" w:rsidRPr="0021172C" w:rsidRDefault="00A6442D" w:rsidP="00A6442D">
      <w:pPr>
        <w:jc w:val="both"/>
        <w:rPr>
          <w:color w:val="000000"/>
          <w:sz w:val="28"/>
          <w:szCs w:val="28"/>
        </w:rPr>
      </w:pPr>
    </w:p>
    <w:p w:rsidR="00A6442D" w:rsidRPr="0021172C" w:rsidRDefault="00A6442D" w:rsidP="00A6442D">
      <w:pPr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21172C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21172C">
        <w:rPr>
          <w:rFonts w:eastAsia="Calibri"/>
          <w:color w:val="000000"/>
          <w:sz w:val="26"/>
          <w:szCs w:val="26"/>
          <w:lang w:eastAsia="en-US"/>
        </w:rPr>
        <w:t xml:space="preserve">частью 6 статьи 1 и частью 14 статьи 3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21172C">
        <w:rPr>
          <w:rFonts w:eastAsia="Calibri"/>
          <w:color w:val="000000"/>
          <w:sz w:val="26"/>
          <w:szCs w:val="26"/>
        </w:rPr>
        <w:t xml:space="preserve">постановлением Правительства Москвы </w:t>
      </w:r>
      <w:r w:rsidRPr="0021172C">
        <w:rPr>
          <w:rFonts w:eastAsia="Calibri"/>
          <w:sz w:val="26"/>
          <w:szCs w:val="26"/>
        </w:rPr>
        <w:t>от 13 сентября 2012 года № 484-ПП «О дополнительных мероприятиях по социально-экономическому развитию районов города Москвы», рассмотрев и обсудив обращения управы Бутырского</w:t>
      </w:r>
      <w:proofErr w:type="gramEnd"/>
      <w:r w:rsidRPr="0021172C">
        <w:rPr>
          <w:rFonts w:eastAsia="Calibri"/>
          <w:sz w:val="26"/>
          <w:szCs w:val="26"/>
        </w:rPr>
        <w:t xml:space="preserve"> района города Москвы от </w:t>
      </w:r>
      <w:r w:rsidR="00B50DCE">
        <w:rPr>
          <w:rFonts w:eastAsia="Calibri"/>
          <w:sz w:val="26"/>
          <w:szCs w:val="26"/>
        </w:rPr>
        <w:t>12</w:t>
      </w:r>
      <w:r>
        <w:rPr>
          <w:rFonts w:eastAsia="Calibri"/>
          <w:sz w:val="26"/>
          <w:szCs w:val="26"/>
        </w:rPr>
        <w:t xml:space="preserve"> августа</w:t>
      </w:r>
      <w:r w:rsidRPr="0021172C">
        <w:rPr>
          <w:rFonts w:eastAsia="Calibri"/>
          <w:sz w:val="26"/>
          <w:szCs w:val="26"/>
        </w:rPr>
        <w:t xml:space="preserve"> 202</w:t>
      </w:r>
      <w:r>
        <w:rPr>
          <w:rFonts w:eastAsia="Calibri"/>
          <w:sz w:val="26"/>
          <w:szCs w:val="26"/>
        </w:rPr>
        <w:t>4</w:t>
      </w:r>
      <w:r w:rsidRPr="0021172C">
        <w:rPr>
          <w:rFonts w:eastAsia="Calibri"/>
          <w:sz w:val="26"/>
          <w:szCs w:val="26"/>
        </w:rPr>
        <w:t xml:space="preserve"> года № </w:t>
      </w:r>
      <w:r>
        <w:rPr>
          <w:rFonts w:eastAsia="Calibri"/>
          <w:sz w:val="26"/>
          <w:szCs w:val="26"/>
        </w:rPr>
        <w:t> </w:t>
      </w:r>
      <w:r w:rsidRPr="0021172C">
        <w:rPr>
          <w:rFonts w:eastAsia="Calibri"/>
          <w:sz w:val="26"/>
          <w:szCs w:val="26"/>
        </w:rPr>
        <w:t>И-</w:t>
      </w:r>
      <w:r>
        <w:rPr>
          <w:rFonts w:eastAsia="Calibri"/>
          <w:sz w:val="26"/>
          <w:szCs w:val="26"/>
        </w:rPr>
        <w:t>11</w:t>
      </w:r>
      <w:r w:rsidR="00B50DCE">
        <w:rPr>
          <w:rFonts w:eastAsia="Calibri"/>
          <w:sz w:val="26"/>
          <w:szCs w:val="26"/>
        </w:rPr>
        <w:t>30</w:t>
      </w:r>
      <w:r>
        <w:rPr>
          <w:rFonts w:eastAsia="Calibri"/>
          <w:sz w:val="26"/>
          <w:szCs w:val="26"/>
        </w:rPr>
        <w:t>/24</w:t>
      </w:r>
      <w:r w:rsidRPr="0021172C">
        <w:rPr>
          <w:rFonts w:eastAsia="Calibri"/>
          <w:sz w:val="26"/>
          <w:szCs w:val="26"/>
        </w:rPr>
        <w:t xml:space="preserve">, </w:t>
      </w:r>
      <w:r w:rsidRPr="0021172C">
        <w:rPr>
          <w:b/>
          <w:bCs/>
          <w:color w:val="000000"/>
          <w:sz w:val="26"/>
          <w:szCs w:val="26"/>
        </w:rPr>
        <w:t>Совет депутатов муниципального округа Бутырский решил:</w:t>
      </w:r>
    </w:p>
    <w:p w:rsidR="00A6442D" w:rsidRPr="0021172C" w:rsidRDefault="00A6442D" w:rsidP="00A6442D">
      <w:pPr>
        <w:jc w:val="both"/>
        <w:rPr>
          <w:color w:val="000000"/>
          <w:sz w:val="26"/>
          <w:szCs w:val="26"/>
        </w:rPr>
      </w:pPr>
    </w:p>
    <w:p w:rsidR="00A6442D" w:rsidRPr="0021172C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rFonts w:eastAsia="Calibri"/>
          <w:sz w:val="26"/>
          <w:szCs w:val="26"/>
          <w:lang w:eastAsia="en-US"/>
        </w:rPr>
        <w:t>Провести дополнительные мероприятия</w:t>
      </w:r>
      <w:r w:rsidRPr="0021172C">
        <w:rPr>
          <w:rFonts w:ascii="Calibri" w:eastAsia="Calibri" w:hAnsi="Calibri" w:cstheme="minorBidi"/>
          <w:sz w:val="22"/>
          <w:szCs w:val="28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по социально-экономическому развитию Бутырского района</w:t>
      </w:r>
      <w:r w:rsidRPr="0021172C">
        <w:rPr>
          <w:rFonts w:ascii="Calibri" w:eastAsia="Calibri" w:hAnsi="Calibri" w:cstheme="minorBidi"/>
          <w:sz w:val="22"/>
          <w:szCs w:val="22"/>
          <w:lang w:eastAsia="en-US"/>
        </w:rPr>
        <w:t xml:space="preserve"> </w:t>
      </w:r>
      <w:r w:rsidRPr="0021172C">
        <w:rPr>
          <w:color w:val="000000"/>
          <w:sz w:val="26"/>
          <w:szCs w:val="26"/>
        </w:rPr>
        <w:t>города Москвы в 202</w:t>
      </w:r>
      <w:r>
        <w:rPr>
          <w:color w:val="000000"/>
          <w:sz w:val="26"/>
          <w:szCs w:val="26"/>
        </w:rPr>
        <w:t>4</w:t>
      </w:r>
      <w:r w:rsidRPr="0021172C">
        <w:rPr>
          <w:color w:val="000000"/>
          <w:sz w:val="26"/>
          <w:szCs w:val="26"/>
        </w:rPr>
        <w:t xml:space="preserve"> году согласно приложению к настоящему решению. </w:t>
      </w:r>
    </w:p>
    <w:p w:rsidR="00A6442D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21172C">
        <w:rPr>
          <w:color w:val="000000"/>
          <w:sz w:val="26"/>
          <w:szCs w:val="26"/>
        </w:rPr>
        <w:t>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A6442D" w:rsidRPr="00136389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r w:rsidRPr="00136389">
        <w:rPr>
          <w:color w:val="000000"/>
          <w:sz w:val="26"/>
          <w:szCs w:val="26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Бутырский.</w:t>
      </w:r>
    </w:p>
    <w:p w:rsidR="00A6442D" w:rsidRPr="0021172C" w:rsidRDefault="00A6442D" w:rsidP="00A6442D">
      <w:pPr>
        <w:numPr>
          <w:ilvl w:val="0"/>
          <w:numId w:val="1"/>
        </w:numPr>
        <w:ind w:left="0" w:firstLine="426"/>
        <w:jc w:val="both"/>
        <w:rPr>
          <w:color w:val="000000"/>
          <w:sz w:val="26"/>
          <w:szCs w:val="26"/>
        </w:rPr>
      </w:pPr>
      <w:proofErr w:type="gramStart"/>
      <w:r w:rsidRPr="0021172C">
        <w:rPr>
          <w:color w:val="000000"/>
          <w:sz w:val="26"/>
          <w:szCs w:val="26"/>
        </w:rPr>
        <w:t>Контроль за</w:t>
      </w:r>
      <w:proofErr w:type="gramEnd"/>
      <w:r w:rsidRPr="0021172C">
        <w:rPr>
          <w:color w:val="000000"/>
          <w:sz w:val="26"/>
          <w:szCs w:val="26"/>
        </w:rPr>
        <w:t xml:space="preserve"> исполнением данного решения возложить на главу муниципального округа Бутырский Шкловскую Н.В.</w:t>
      </w:r>
      <w:r w:rsidRPr="0021172C">
        <w:rPr>
          <w:rFonts w:eastAsia="Calibri"/>
          <w:sz w:val="26"/>
          <w:szCs w:val="26"/>
          <w:lang w:eastAsia="en-US"/>
        </w:rPr>
        <w:t xml:space="preserve"> </w:t>
      </w:r>
    </w:p>
    <w:p w:rsidR="00A6442D" w:rsidRPr="0021172C" w:rsidRDefault="00A6442D" w:rsidP="00A6442D">
      <w:pPr>
        <w:ind w:firstLine="426"/>
        <w:jc w:val="both"/>
        <w:rPr>
          <w:color w:val="000000"/>
          <w:sz w:val="26"/>
          <w:szCs w:val="26"/>
        </w:rPr>
      </w:pPr>
    </w:p>
    <w:p w:rsidR="00A6442D" w:rsidRPr="0021172C" w:rsidRDefault="00A6442D" w:rsidP="00A6442D">
      <w:pPr>
        <w:rPr>
          <w:rFonts w:eastAsia="Calibri"/>
          <w:b/>
          <w:sz w:val="26"/>
          <w:szCs w:val="26"/>
          <w:lang w:eastAsia="en-US"/>
        </w:rPr>
      </w:pPr>
      <w:r w:rsidRPr="0021172C">
        <w:rPr>
          <w:rFonts w:eastAsia="Calibri"/>
          <w:b/>
          <w:sz w:val="26"/>
          <w:szCs w:val="26"/>
          <w:lang w:eastAsia="en-US"/>
        </w:rPr>
        <w:t xml:space="preserve">Глава муниципального округа </w:t>
      </w:r>
      <w:proofErr w:type="gramStart"/>
      <w:r w:rsidRPr="0021172C">
        <w:rPr>
          <w:rFonts w:eastAsia="Calibri"/>
          <w:b/>
          <w:sz w:val="26"/>
          <w:szCs w:val="26"/>
          <w:lang w:eastAsia="en-US"/>
        </w:rPr>
        <w:t>Бутырский</w:t>
      </w:r>
      <w:proofErr w:type="gramEnd"/>
      <w:r w:rsidRPr="0021172C">
        <w:rPr>
          <w:rFonts w:eastAsia="Calibri"/>
          <w:b/>
          <w:sz w:val="26"/>
          <w:szCs w:val="26"/>
          <w:lang w:eastAsia="en-US"/>
        </w:rPr>
        <w:t xml:space="preserve">                              Н.В. Шкловская</w:t>
      </w:r>
      <w:r w:rsidRPr="0021172C">
        <w:rPr>
          <w:rFonts w:eastAsia="Calibri"/>
          <w:b/>
          <w:sz w:val="26"/>
          <w:szCs w:val="26"/>
          <w:lang w:eastAsia="en-US"/>
        </w:rPr>
        <w:br w:type="page"/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21172C">
        <w:rPr>
          <w:bCs/>
          <w:sz w:val="28"/>
          <w:szCs w:val="28"/>
          <w:lang w:eastAsia="en-US"/>
        </w:rPr>
        <w:t>Бутырский</w:t>
      </w:r>
      <w:proofErr w:type="gramEnd"/>
      <w:r w:rsidRPr="0021172C">
        <w:rPr>
          <w:bCs/>
          <w:sz w:val="28"/>
          <w:szCs w:val="28"/>
          <w:lang w:eastAsia="en-US"/>
        </w:rPr>
        <w:t xml:space="preserve"> 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  <w:r w:rsidRPr="0021172C">
        <w:rPr>
          <w:bCs/>
          <w:sz w:val="28"/>
          <w:szCs w:val="28"/>
          <w:lang w:eastAsia="en-US"/>
        </w:rPr>
        <w:t xml:space="preserve">от </w:t>
      </w:r>
      <w:r w:rsidRPr="00A6442D">
        <w:rPr>
          <w:rFonts w:eastAsia="Calibri"/>
          <w:sz w:val="28"/>
          <w:szCs w:val="28"/>
        </w:rPr>
        <w:t>2</w:t>
      </w:r>
      <w:r w:rsidR="00206981">
        <w:rPr>
          <w:rFonts w:eastAsia="Calibri"/>
          <w:sz w:val="28"/>
          <w:szCs w:val="28"/>
        </w:rPr>
        <w:t>1</w:t>
      </w:r>
      <w:bookmarkStart w:id="0" w:name="_GoBack"/>
      <w:bookmarkEnd w:id="0"/>
      <w:r w:rsidRPr="00A6442D">
        <w:rPr>
          <w:rFonts w:eastAsia="Calibri"/>
          <w:sz w:val="28"/>
          <w:szCs w:val="28"/>
        </w:rPr>
        <w:t>.08.2024 № 01-04/9-</w:t>
      </w:r>
      <w:r w:rsidR="00AE51F1">
        <w:rPr>
          <w:rFonts w:eastAsia="Calibri"/>
          <w:sz w:val="28"/>
          <w:szCs w:val="28"/>
        </w:rPr>
        <w:t>8</w:t>
      </w:r>
    </w:p>
    <w:p w:rsidR="00A6442D" w:rsidRPr="0021172C" w:rsidRDefault="00A6442D" w:rsidP="00A6442D">
      <w:pPr>
        <w:ind w:left="5529"/>
        <w:jc w:val="both"/>
        <w:rPr>
          <w:bCs/>
          <w:sz w:val="28"/>
          <w:szCs w:val="28"/>
          <w:lang w:eastAsia="en-US"/>
        </w:rPr>
      </w:pPr>
    </w:p>
    <w:p w:rsidR="00A6442D" w:rsidRPr="0021172C" w:rsidRDefault="00A6442D" w:rsidP="00A6442D">
      <w:pPr>
        <w:jc w:val="center"/>
        <w:rPr>
          <w:b/>
          <w:color w:val="000000"/>
          <w:sz w:val="26"/>
          <w:szCs w:val="26"/>
        </w:rPr>
      </w:pPr>
      <w:r w:rsidRPr="0021172C">
        <w:rPr>
          <w:b/>
          <w:color w:val="000000"/>
          <w:sz w:val="26"/>
          <w:szCs w:val="26"/>
        </w:rPr>
        <w:t>Перечень мероприятий за счет средств</w:t>
      </w:r>
      <w:r>
        <w:rPr>
          <w:b/>
          <w:color w:val="000000"/>
          <w:sz w:val="26"/>
          <w:szCs w:val="26"/>
        </w:rPr>
        <w:t xml:space="preserve"> экономии, образовавшейся в результате конкурентных процедур в рамках</w:t>
      </w:r>
      <w:r w:rsidRPr="0021172C">
        <w:rPr>
          <w:b/>
          <w:color w:val="000000"/>
          <w:sz w:val="26"/>
          <w:szCs w:val="26"/>
        </w:rPr>
        <w:t xml:space="preserve"> социально-экономического развития Бутырского района</w:t>
      </w:r>
      <w:r w:rsidRPr="0021172C">
        <w:rPr>
          <w:rFonts w:ascii="Calibri" w:eastAsia="Calibri" w:hAnsi="Calibri" w:cstheme="minorBidi"/>
          <w:b/>
          <w:sz w:val="22"/>
          <w:szCs w:val="22"/>
          <w:lang w:eastAsia="en-US"/>
        </w:rPr>
        <w:t xml:space="preserve"> </w:t>
      </w:r>
      <w:r w:rsidRPr="0021172C">
        <w:rPr>
          <w:b/>
          <w:color w:val="000000"/>
          <w:sz w:val="26"/>
          <w:szCs w:val="26"/>
        </w:rPr>
        <w:t>города Москвы в 202</w:t>
      </w:r>
      <w:r>
        <w:rPr>
          <w:b/>
          <w:color w:val="000000"/>
          <w:sz w:val="26"/>
          <w:szCs w:val="26"/>
        </w:rPr>
        <w:t>4</w:t>
      </w:r>
      <w:r w:rsidRPr="0021172C">
        <w:rPr>
          <w:b/>
          <w:color w:val="000000"/>
          <w:sz w:val="26"/>
          <w:szCs w:val="26"/>
        </w:rPr>
        <w:t xml:space="preserve"> году</w:t>
      </w:r>
    </w:p>
    <w:p w:rsidR="00A6442D" w:rsidRPr="0021172C" w:rsidRDefault="00A6442D" w:rsidP="00A6442D">
      <w:pPr>
        <w:rPr>
          <w:rFonts w:eastAsia="Calibri"/>
          <w:b/>
          <w:sz w:val="28"/>
          <w:szCs w:val="28"/>
          <w:lang w:eastAsia="en-US"/>
        </w:rPr>
      </w:pPr>
    </w:p>
    <w:p w:rsidR="00A6442D" w:rsidRPr="0021172C" w:rsidRDefault="00A6442D" w:rsidP="00A6442D">
      <w:pPr>
        <w:jc w:val="right"/>
        <w:rPr>
          <w:rFonts w:eastAsia="Calibri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2817"/>
        <w:gridCol w:w="2393"/>
      </w:tblGrid>
      <w:tr w:rsidR="00A6442D" w:rsidTr="00536325">
        <w:tc>
          <w:tcPr>
            <w:tcW w:w="817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36389">
              <w:rPr>
                <w:b/>
                <w:bCs/>
                <w:color w:val="000000"/>
              </w:rPr>
              <w:t>п</w:t>
            </w:r>
            <w:proofErr w:type="gramEnd"/>
            <w:r w:rsidRPr="00136389">
              <w:rPr>
                <w:b/>
                <w:bCs/>
                <w:color w:val="000000"/>
              </w:rPr>
              <w:t>/п</w:t>
            </w:r>
          </w:p>
        </w:tc>
        <w:tc>
          <w:tcPr>
            <w:tcW w:w="3544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Адрес объекта</w:t>
            </w:r>
          </w:p>
        </w:tc>
        <w:tc>
          <w:tcPr>
            <w:tcW w:w="2817" w:type="dxa"/>
            <w:vAlign w:val="center"/>
          </w:tcPr>
          <w:p w:rsidR="00A6442D" w:rsidRPr="00136389" w:rsidRDefault="00A6442D" w:rsidP="00536325">
            <w:pPr>
              <w:jc w:val="center"/>
              <w:rPr>
                <w:rFonts w:eastAsia="Calibri"/>
                <w:b/>
              </w:rPr>
            </w:pPr>
            <w:r w:rsidRPr="00136389">
              <w:rPr>
                <w:rFonts w:eastAsia="Calibri"/>
                <w:b/>
              </w:rPr>
              <w:t xml:space="preserve">Функциональное назначение 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rFonts w:eastAsia="Calibri"/>
                <w:b/>
              </w:rPr>
              <w:t>планируемых работ</w:t>
            </w:r>
          </w:p>
        </w:tc>
        <w:tc>
          <w:tcPr>
            <w:tcW w:w="2393" w:type="dxa"/>
            <w:vAlign w:val="center"/>
          </w:tcPr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 xml:space="preserve">Ориентировочная 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стоимость работ</w:t>
            </w:r>
          </w:p>
          <w:p w:rsidR="00A6442D" w:rsidRPr="00136389" w:rsidRDefault="00A6442D" w:rsidP="00536325">
            <w:pPr>
              <w:jc w:val="center"/>
              <w:rPr>
                <w:b/>
                <w:bCs/>
                <w:color w:val="000000"/>
              </w:rPr>
            </w:pPr>
            <w:r w:rsidRPr="00136389">
              <w:rPr>
                <w:b/>
                <w:bCs/>
                <w:color w:val="000000"/>
              </w:rPr>
              <w:t>(руб.)</w:t>
            </w:r>
          </w:p>
        </w:tc>
      </w:tr>
      <w:tr w:rsidR="00ED39FA" w:rsidTr="00480B7A">
        <w:tc>
          <w:tcPr>
            <w:tcW w:w="817" w:type="dxa"/>
          </w:tcPr>
          <w:p w:rsidR="00ED39FA" w:rsidRPr="00136389" w:rsidRDefault="00ED39FA" w:rsidP="0053632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136389">
              <w:rPr>
                <w:rFonts w:eastAsia="Calibri"/>
                <w:b/>
                <w:bCs/>
                <w:lang w:eastAsia="en-US"/>
              </w:rPr>
              <w:t>1.</w:t>
            </w:r>
          </w:p>
        </w:tc>
        <w:tc>
          <w:tcPr>
            <w:tcW w:w="8754" w:type="dxa"/>
            <w:gridSpan w:val="3"/>
          </w:tcPr>
          <w:p w:rsidR="00ED39FA" w:rsidRPr="00136389" w:rsidRDefault="00ED39FA" w:rsidP="00ED39FA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Мероприятия по капитальному ремонту многоквартирных домов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3544" w:type="dxa"/>
          </w:tcPr>
          <w:p w:rsidR="00EB4368" w:rsidRPr="00136389" w:rsidRDefault="00EB4368" w:rsidP="00ED39FA">
            <w:pPr>
              <w:pStyle w:val="20"/>
              <w:tabs>
                <w:tab w:val="left" w:pos="3732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B4368">
              <w:rPr>
                <w:rStyle w:val="2"/>
                <w:color w:val="000000"/>
                <w:sz w:val="24"/>
                <w:szCs w:val="24"/>
              </w:rPr>
              <w:t>ул. Гончарова, д.13Б</w:t>
            </w:r>
            <w:r w:rsidR="00B50DCE">
              <w:rPr>
                <w:rStyle w:val="2"/>
                <w:color w:val="000000"/>
                <w:sz w:val="24"/>
                <w:szCs w:val="24"/>
              </w:rPr>
              <w:t>,</w:t>
            </w:r>
            <w:r w:rsidRPr="00EB4368">
              <w:rPr>
                <w:rStyle w:val="2"/>
                <w:color w:val="000000"/>
                <w:sz w:val="24"/>
                <w:szCs w:val="24"/>
              </w:rPr>
              <w:t xml:space="preserve"> п. 1,2,3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tabs>
                <w:tab w:val="left" w:pos="3732"/>
              </w:tabs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оконных блоков</w:t>
            </w:r>
          </w:p>
        </w:tc>
        <w:tc>
          <w:tcPr>
            <w:tcW w:w="2393" w:type="dxa"/>
          </w:tcPr>
          <w:p w:rsidR="00EB4368" w:rsidRPr="00136389" w:rsidRDefault="00ED39FA" w:rsidP="00ED39FA">
            <w:pPr>
              <w:pStyle w:val="20"/>
              <w:spacing w:line="240" w:lineRule="auto"/>
              <w:jc w:val="center"/>
              <w:rPr>
                <w:rStyle w:val="210"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613 853,94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3544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ул. Добролю</w:t>
            </w:r>
            <w:r w:rsidR="00B50DCE">
              <w:rPr>
                <w:rStyle w:val="2"/>
                <w:color w:val="000000"/>
                <w:sz w:val="24"/>
                <w:szCs w:val="24"/>
              </w:rPr>
              <w:t>бова, д. 19, п. 1</w:t>
            </w:r>
            <w:r w:rsidRPr="00ED39FA">
              <w:rPr>
                <w:rStyle w:val="2"/>
                <w:color w:val="000000"/>
                <w:sz w:val="24"/>
                <w:szCs w:val="24"/>
              </w:rPr>
              <w:t>,3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оконных блоков</w:t>
            </w:r>
          </w:p>
        </w:tc>
        <w:tc>
          <w:tcPr>
            <w:tcW w:w="2393" w:type="dxa"/>
          </w:tcPr>
          <w:p w:rsidR="00EB4368" w:rsidRPr="00ED39FA" w:rsidRDefault="00B50DCE" w:rsidP="00B50DCE">
            <w:pPr>
              <w:pStyle w:val="20"/>
              <w:spacing w:line="240" w:lineRule="auto"/>
              <w:jc w:val="center"/>
              <w:rPr>
                <w:rStyle w:val="210"/>
                <w:b w:val="0"/>
                <w:color w:val="000000"/>
                <w:sz w:val="24"/>
                <w:szCs w:val="24"/>
              </w:rPr>
            </w:pPr>
            <w:r>
              <w:rPr>
                <w:rStyle w:val="210"/>
                <w:b w:val="0"/>
                <w:color w:val="000000"/>
                <w:sz w:val="24"/>
                <w:szCs w:val="24"/>
              </w:rPr>
              <w:t>324</w:t>
            </w:r>
            <w:r w:rsidR="00ED39FA" w:rsidRPr="00ED39FA">
              <w:rPr>
                <w:rStyle w:val="210"/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10"/>
                <w:b w:val="0"/>
                <w:color w:val="000000"/>
                <w:sz w:val="24"/>
                <w:szCs w:val="24"/>
              </w:rPr>
              <w:t>532</w:t>
            </w:r>
            <w:r w:rsidR="00ED39FA" w:rsidRPr="00ED39FA">
              <w:rPr>
                <w:rStyle w:val="210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Style w:val="210"/>
                <w:b w:val="0"/>
                <w:color w:val="000000"/>
                <w:sz w:val="24"/>
                <w:szCs w:val="24"/>
              </w:rPr>
              <w:t>09</w:t>
            </w:r>
          </w:p>
        </w:tc>
      </w:tr>
      <w:tr w:rsidR="00EB4368" w:rsidTr="00EB4368">
        <w:tc>
          <w:tcPr>
            <w:tcW w:w="817" w:type="dxa"/>
          </w:tcPr>
          <w:p w:rsidR="00EB4368" w:rsidRPr="00136389" w:rsidRDefault="00EB4368" w:rsidP="00536325">
            <w:pPr>
              <w:jc w:val="center"/>
              <w:rPr>
                <w:rFonts w:eastAsia="Calibri"/>
                <w:lang w:eastAsia="en-US"/>
              </w:rPr>
            </w:pPr>
            <w:r w:rsidRPr="00136389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3544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>
              <w:rPr>
                <w:rStyle w:val="2"/>
                <w:color w:val="000000"/>
                <w:sz w:val="24"/>
                <w:szCs w:val="24"/>
              </w:rPr>
              <w:t>ул. Г</w:t>
            </w:r>
            <w:r w:rsidRPr="00ED39FA">
              <w:rPr>
                <w:rStyle w:val="2"/>
                <w:color w:val="000000"/>
                <w:sz w:val="24"/>
                <w:szCs w:val="24"/>
              </w:rPr>
              <w:t>ончарова, д. 17в, п.1</w:t>
            </w:r>
          </w:p>
        </w:tc>
        <w:tc>
          <w:tcPr>
            <w:tcW w:w="2817" w:type="dxa"/>
          </w:tcPr>
          <w:p w:rsidR="00EB4368" w:rsidRPr="00136389" w:rsidRDefault="00ED39FA" w:rsidP="00ED39FA">
            <w:pPr>
              <w:pStyle w:val="20"/>
              <w:spacing w:line="240" w:lineRule="auto"/>
              <w:rPr>
                <w:rStyle w:val="2"/>
                <w:color w:val="000000"/>
                <w:sz w:val="24"/>
                <w:szCs w:val="24"/>
              </w:rPr>
            </w:pPr>
            <w:r w:rsidRPr="00ED39FA">
              <w:rPr>
                <w:rStyle w:val="2"/>
                <w:color w:val="000000"/>
                <w:sz w:val="24"/>
                <w:szCs w:val="24"/>
              </w:rPr>
              <w:t>работы по замене входной двери</w:t>
            </w:r>
          </w:p>
        </w:tc>
        <w:tc>
          <w:tcPr>
            <w:tcW w:w="2393" w:type="dxa"/>
          </w:tcPr>
          <w:p w:rsidR="00EB4368" w:rsidRPr="00136389" w:rsidRDefault="00ED39FA" w:rsidP="00ED39FA">
            <w:pPr>
              <w:pStyle w:val="20"/>
              <w:spacing w:line="240" w:lineRule="auto"/>
              <w:jc w:val="center"/>
              <w:rPr>
                <w:rStyle w:val="210"/>
                <w:color w:val="000000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129 915,26</w:t>
            </w:r>
          </w:p>
        </w:tc>
      </w:tr>
      <w:tr w:rsidR="00A6442D" w:rsidTr="00536325">
        <w:tc>
          <w:tcPr>
            <w:tcW w:w="817" w:type="dxa"/>
          </w:tcPr>
          <w:p w:rsidR="00A6442D" w:rsidRPr="00136389" w:rsidRDefault="00A6442D" w:rsidP="00536325">
            <w:pPr>
              <w:rPr>
                <w:rFonts w:eastAsia="Calibri"/>
                <w:lang w:eastAsia="en-US"/>
              </w:rPr>
            </w:pPr>
          </w:p>
        </w:tc>
        <w:tc>
          <w:tcPr>
            <w:tcW w:w="6361" w:type="dxa"/>
            <w:gridSpan w:val="2"/>
          </w:tcPr>
          <w:p w:rsidR="00A6442D" w:rsidRPr="00136389" w:rsidRDefault="00A6442D" w:rsidP="00536325">
            <w:pPr>
              <w:pStyle w:val="30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136389">
              <w:rPr>
                <w:rStyle w:val="3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A6442D" w:rsidRPr="00136389" w:rsidRDefault="00ED39FA" w:rsidP="00B50DCE">
            <w:pPr>
              <w:pStyle w:val="30"/>
              <w:jc w:val="center"/>
              <w:rPr>
                <w:sz w:val="24"/>
                <w:szCs w:val="24"/>
              </w:rPr>
            </w:pPr>
            <w:r w:rsidRPr="00ED39FA">
              <w:rPr>
                <w:sz w:val="24"/>
                <w:szCs w:val="24"/>
              </w:rPr>
              <w:t>1</w:t>
            </w:r>
            <w:r w:rsidR="00B50DCE">
              <w:rPr>
                <w:sz w:val="24"/>
                <w:szCs w:val="24"/>
              </w:rPr>
              <w:t> 068 301</w:t>
            </w:r>
            <w:r>
              <w:rPr>
                <w:sz w:val="24"/>
                <w:szCs w:val="24"/>
              </w:rPr>
              <w:t>,</w:t>
            </w:r>
            <w:r w:rsidR="00B50DCE">
              <w:rPr>
                <w:sz w:val="24"/>
                <w:szCs w:val="24"/>
              </w:rPr>
              <w:t>29</w:t>
            </w:r>
          </w:p>
        </w:tc>
      </w:tr>
    </w:tbl>
    <w:p w:rsidR="00A6442D" w:rsidRDefault="00A6442D" w:rsidP="00A6442D"/>
    <w:p w:rsidR="00F930D0" w:rsidRDefault="00F930D0"/>
    <w:sectPr w:rsidR="00F93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B7"/>
    <w:rsid w:val="00206981"/>
    <w:rsid w:val="00A00DB7"/>
    <w:rsid w:val="00A6442D"/>
    <w:rsid w:val="00AE51F1"/>
    <w:rsid w:val="00B50DCE"/>
    <w:rsid w:val="00EB4368"/>
    <w:rsid w:val="00ED39FA"/>
    <w:rsid w:val="00F9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A6442D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6442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4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uiPriority w:val="99"/>
    <w:rsid w:val="00A6442D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A6442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rsid w:val="00A6442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6442D"/>
    <w:pPr>
      <w:shd w:val="clear" w:color="auto" w:fill="FFFFFF"/>
      <w:spacing w:line="371" w:lineRule="exact"/>
      <w:jc w:val="both"/>
    </w:pPr>
    <w:rPr>
      <w:rFonts w:eastAsiaTheme="minorHAnsi"/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644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44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2024-08-02T08:38:00Z</dcterms:created>
  <dcterms:modified xsi:type="dcterms:W3CDTF">2024-08-13T06:28:00Z</dcterms:modified>
</cp:coreProperties>
</file>